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hint="eastAsia" w:ascii="黑体" w:hAnsi="黑体" w:eastAsia="黑体"/>
          <w:kern w:val="0"/>
          <w:sz w:val="28"/>
          <w:szCs w:val="28"/>
        </w:rPr>
      </w:pPr>
      <w:r>
        <w:rPr>
          <w:rFonts w:hint="eastAsia" w:ascii="黑体" w:hAnsi="黑体" w:eastAsia="黑体"/>
          <w:kern w:val="0"/>
          <w:sz w:val="28"/>
          <w:szCs w:val="28"/>
        </w:rPr>
        <w:t>附件2</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2024年度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漯河市中级人民法院</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2"/>
          <w:szCs w:val="32"/>
        </w:rPr>
      </w:pPr>
      <w:r>
        <w:rPr>
          <w:rFonts w:hint="eastAsia" w:ascii="黑体" w:hAnsi="黑体" w:eastAsia="黑体" w:cs="黑体"/>
          <w:sz w:val="32"/>
          <w:szCs w:val="32"/>
        </w:rPr>
        <w:t>二〇二五年八月</w:t>
      </w:r>
    </w:p>
    <w:p>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jc w:val="center"/>
        <w:rPr>
          <w:rFonts w:ascii="黑体" w:hAnsi="黑体" w:eastAsia="黑体" w:cs="黑体"/>
          <w:sz w:val="36"/>
          <w:szCs w:val="36"/>
        </w:rPr>
      </w:pPr>
      <w:r>
        <w:rPr>
          <w:rFonts w:hint="eastAsia" w:ascii="黑体" w:hAnsi="黑体" w:eastAsia="黑体" w:cs="黑体"/>
          <w:sz w:val="36"/>
          <w:szCs w:val="36"/>
        </w:rPr>
        <w:t xml:space="preserve">目 </w:t>
      </w:r>
      <w:r>
        <w:rPr>
          <w:rFonts w:ascii="黑体" w:hAnsi="黑体" w:eastAsia="黑体" w:cs="黑体"/>
          <w:sz w:val="36"/>
          <w:szCs w:val="36"/>
        </w:rPr>
        <w:t xml:space="preserve"> </w:t>
      </w:r>
      <w:r>
        <w:rPr>
          <w:rFonts w:hint="eastAsia" w:ascii="黑体" w:hAnsi="黑体" w:eastAsia="黑体" w:cs="黑体"/>
          <w:sz w:val="36"/>
          <w:szCs w:val="36"/>
        </w:rPr>
        <w:t>录</w:t>
      </w:r>
    </w:p>
    <w:p>
      <w:pPr>
        <w:jc w:val="left"/>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漯河市中级人民法院</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2024年度部门决算表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pPr>
        <w:ind w:firstLine="640" w:firstLineChars="200"/>
        <w:jc w:val="left"/>
        <w:rPr>
          <w:rFonts w:hint="eastAsia" w:ascii="宋体" w:hAnsi="宋体" w:cs="黑体"/>
          <w:sz w:val="32"/>
          <w:szCs w:val="32"/>
        </w:rPr>
      </w:pPr>
      <w:r>
        <w:rPr>
          <w:rFonts w:hint="eastAsia" w:ascii="宋体" w:hAnsi="宋体" w:cs="黑体"/>
          <w:sz w:val="32"/>
          <w:szCs w:val="32"/>
        </w:rPr>
        <w:t>九、一般公共预算财政拨款“三公”经费支出决算表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2024</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漯河市中级人民法院</w:t>
      </w:r>
      <w:r>
        <w:rPr>
          <w:rFonts w:hint="eastAsia" w:ascii="黑体" w:hAnsi="黑体" w:eastAsia="黑体" w:cs="黑体"/>
          <w:sz w:val="48"/>
          <w:szCs w:val="48"/>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eepNext w:val="0"/>
        <w:keepLines w:val="0"/>
        <w:pageBreakBefore w:val="0"/>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（一）依法审判法律规定由漯河市中级人民法院管辖的和其认为应当由法院审判的刑事、民事、行政等第一审案件。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（二）依法审判法律规定由漯河市中级人民法院管辖的刑事、民事、行政等第二审案件。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（三）依法</w:t>
      </w:r>
      <w:r>
        <w:rPr>
          <w:rFonts w:hint="eastAsia" w:ascii="仿宋_GB2312" w:eastAsia="仿宋_GB2312" w:cs="宋体"/>
          <w:b w:val="0"/>
          <w:bCs w:val="0"/>
          <w:kern w:val="0"/>
          <w:sz w:val="32"/>
          <w:szCs w:val="32"/>
          <w:lang w:eastAsia="zh-CN" w:bidi="ar-SA"/>
        </w:rPr>
        <w:t>审</w:t>
      </w:r>
      <w:r>
        <w:rPr>
          <w:rFonts w:hint="eastAsia" w:ascii="仿宋_GB2312" w:eastAsia="仿宋_GB2312" w:cs="宋体"/>
          <w:b w:val="0"/>
          <w:bCs w:val="0"/>
          <w:kern w:val="0"/>
          <w:sz w:val="32"/>
          <w:szCs w:val="32"/>
          <w:lang w:bidi="ar-SA"/>
        </w:rPr>
        <w:t>理</w:t>
      </w:r>
      <w:r>
        <w:rPr>
          <w:rFonts w:hint="eastAsia" w:ascii="仿宋_GB2312" w:eastAsia="仿宋_GB2312" w:cs="宋体"/>
          <w:b w:val="0"/>
          <w:bCs w:val="0"/>
          <w:kern w:val="0"/>
          <w:sz w:val="32"/>
          <w:szCs w:val="32"/>
          <w:lang w:eastAsia="zh-CN" w:bidi="ar-SA"/>
        </w:rPr>
        <w:t>应</w:t>
      </w:r>
      <w:r>
        <w:rPr>
          <w:rFonts w:hint="eastAsia" w:ascii="仿宋_GB2312" w:eastAsia="仿宋_GB2312" w:cs="宋体"/>
          <w:b w:val="0"/>
          <w:bCs w:val="0"/>
          <w:kern w:val="0"/>
          <w:sz w:val="32"/>
          <w:szCs w:val="32"/>
          <w:lang w:bidi="ar-SA"/>
        </w:rPr>
        <w:t>由漯河市中级人民法院管辖的减刑、假释案件。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（四）受理不服全市两级法院裁判生效的各类申诉和申请再审案件。对其中确有错误的，属本院裁判生效的，决定再审；属下级法院裁判生效的，决定提审或指令下级人民法院再审。</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（五）依法受理由漯河市人民检察院按照审判监督程序提出的抗诉案件。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（六）依法对下级人民法院行使案件指定管辖权。</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（七）监督下级人民法院的审判工作。</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（八）依法行使司法执行权和司法决定权。</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（九）依法决定国家赔偿。</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（十）对法律、法规、规章等草案提出意见；针对案件审理中发现的突出问题提出司法建议。</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（十一）对市</w:t>
      </w:r>
      <w:r>
        <w:rPr>
          <w:rFonts w:hint="eastAsia" w:ascii="仿宋_GB2312" w:eastAsia="仿宋_GB2312" w:cs="宋体"/>
          <w:b w:val="0"/>
          <w:bCs w:val="0"/>
          <w:kern w:val="0"/>
          <w:sz w:val="32"/>
          <w:szCs w:val="32"/>
          <w:lang w:eastAsia="zh-CN" w:bidi="ar-SA"/>
        </w:rPr>
        <w:t>中级人民</w:t>
      </w:r>
      <w:r>
        <w:rPr>
          <w:rFonts w:hint="eastAsia" w:ascii="仿宋_GB2312" w:eastAsia="仿宋_GB2312" w:cs="宋体"/>
          <w:b w:val="0"/>
          <w:bCs w:val="0"/>
          <w:kern w:val="0"/>
          <w:sz w:val="32"/>
          <w:szCs w:val="32"/>
          <w:lang w:bidi="ar-SA"/>
        </w:rPr>
        <w:t>法院的法官和其他工作人员组织专业培训；指导下级人民法院的思想政治工作和教育培训工作；按照权限管理法官和其他工作人员；协助主管部门管理下级人民法院的机构编制工作；领导直属事业单位的工作。</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（十二）主管全市法院的监察工作。</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（十三）在审判工作中宣传法制，教育公民自觉遵守宪法和法律。</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（十四）管理全市法院系统的有关经费和物资装备；</w:t>
      </w:r>
      <w:r>
        <w:rPr>
          <w:rFonts w:hint="eastAsia" w:ascii="仿宋_GB2312" w:eastAsia="仿宋_GB2312" w:cs="宋体"/>
          <w:b w:val="0"/>
          <w:bCs w:val="0"/>
          <w:kern w:val="0"/>
          <w:sz w:val="32"/>
          <w:szCs w:val="32"/>
          <w:lang w:eastAsia="zh-CN" w:bidi="ar-SA"/>
        </w:rPr>
        <w:t>负责本级法院、指导基层法院信息化建设；</w:t>
      </w:r>
      <w:r>
        <w:rPr>
          <w:rFonts w:hint="eastAsia" w:ascii="仿宋_GB2312" w:eastAsia="仿宋_GB2312" w:cs="宋体"/>
          <w:b w:val="0"/>
          <w:bCs w:val="0"/>
          <w:kern w:val="0"/>
          <w:sz w:val="32"/>
          <w:szCs w:val="32"/>
          <w:lang w:bidi="ar-SA"/>
        </w:rPr>
        <w:t>指导基层人民法庭建设。</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（十五）</w:t>
      </w:r>
      <w:r>
        <w:rPr>
          <w:rFonts w:hint="eastAsia" w:ascii="仿宋_GB2312" w:eastAsia="仿宋_GB2312" w:cs="宋体"/>
          <w:b w:val="0"/>
          <w:bCs w:val="0"/>
          <w:kern w:val="0"/>
          <w:sz w:val="32"/>
          <w:szCs w:val="32"/>
          <w:lang w:eastAsia="zh-CN" w:bidi="ar-SA"/>
        </w:rPr>
        <w:t>负责全市法院司法警察工作</w:t>
      </w:r>
      <w:r>
        <w:rPr>
          <w:rFonts w:hint="eastAsia" w:ascii="仿宋_GB2312" w:eastAsia="仿宋_GB2312" w:cs="宋体"/>
          <w:b w:val="0"/>
          <w:bCs w:val="0"/>
          <w:kern w:val="0"/>
          <w:sz w:val="32"/>
          <w:szCs w:val="32"/>
          <w:lang w:bidi="ar-SA"/>
        </w:rPr>
        <w:t>。</w:t>
      </w:r>
    </w:p>
    <w:p>
      <w:pPr>
        <w:widowControl/>
        <w:ind w:firstLine="640" w:firstLineChars="200"/>
        <w:jc w:val="left"/>
        <w:outlineLvl w:val="1"/>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（十六）完成应由漯河市中级人民法院负责的其他工作。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eastAsia="仿宋_GB2312" w:cs="仿宋_GB2312"/>
          <w:spacing w:val="-1"/>
          <w:kern w:val="0"/>
          <w:sz w:val="32"/>
          <w:szCs w:val="32"/>
          <w:lang w:bidi="ar-SA"/>
        </w:rPr>
      </w:pPr>
      <w:r>
        <w:rPr>
          <w:rFonts w:hint="eastAsia" w:ascii="仿宋_GB2312" w:eastAsia="仿宋_GB2312" w:cs="宋体"/>
          <w:b w:val="0"/>
          <w:bCs w:val="0"/>
          <w:kern w:val="0"/>
          <w:sz w:val="32"/>
          <w:szCs w:val="32"/>
          <w:lang w:eastAsia="zh-CN" w:bidi="ar-SA"/>
        </w:rPr>
        <w:t>河南省</w:t>
      </w:r>
      <w:r>
        <w:rPr>
          <w:rFonts w:hint="eastAsia" w:ascii="仿宋_GB2312" w:eastAsia="仿宋_GB2312" w:cs="宋体"/>
          <w:b w:val="0"/>
          <w:bCs w:val="0"/>
          <w:kern w:val="0"/>
          <w:sz w:val="32"/>
          <w:szCs w:val="32"/>
          <w:lang w:bidi="ar-SA"/>
        </w:rPr>
        <w:t>漯河市中级人民法院</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个，包括：</w:t>
      </w:r>
      <w:r>
        <w:rPr>
          <w:rFonts w:hint="eastAsia" w:ascii="仿宋_GB2312" w:hAnsi="仿宋_GB2312" w:eastAsia="仿宋_GB2312"/>
          <w:sz w:val="32"/>
          <w:szCs w:val="32"/>
        </w:rPr>
        <w:t>办公室、政治部（内设组织人事处、宣传教育处</w:t>
      </w:r>
      <w:r>
        <w:rPr>
          <w:rFonts w:hint="eastAsia" w:ascii="仿宋_GB2312" w:hAnsi="仿宋_GB2312" w:eastAsia="仿宋_GB2312"/>
          <w:sz w:val="32"/>
          <w:szCs w:val="32"/>
          <w:lang w:eastAsia="zh-CN"/>
        </w:rPr>
        <w:t>、</w:t>
      </w:r>
      <w:r>
        <w:rPr>
          <w:rFonts w:hint="eastAsia" w:ascii="仿宋_GB2312" w:hAnsi="仿宋_GB2312" w:eastAsia="仿宋_GB2312" w:cs="仿宋_GB2312"/>
          <w:kern w:val="0"/>
          <w:sz w:val="32"/>
          <w:szCs w:val="32"/>
        </w:rPr>
        <w:t>退休老干部处</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立案一庭、立案二庭、</w:t>
      </w:r>
      <w:r>
        <w:rPr>
          <w:rFonts w:hint="eastAsia" w:ascii="仿宋_GB2312" w:hAnsi="仿宋_GB2312" w:eastAsia="仿宋_GB2312"/>
          <w:sz w:val="32"/>
          <w:szCs w:val="32"/>
          <w:lang w:eastAsia="zh-CN"/>
        </w:rPr>
        <w:t>刑事审判第</w:t>
      </w:r>
      <w:r>
        <w:rPr>
          <w:rFonts w:hint="eastAsia" w:ascii="仿宋_GB2312" w:hAnsi="仿宋_GB2312" w:eastAsia="仿宋_GB2312"/>
          <w:sz w:val="32"/>
          <w:szCs w:val="32"/>
        </w:rPr>
        <w:t>一庭、刑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二庭</w:t>
      </w:r>
      <w:r>
        <w:rPr>
          <w:rFonts w:hint="eastAsia" w:ascii="仿宋_GB2312" w:hAnsi="仿宋_GB2312" w:eastAsia="仿宋_GB2312"/>
          <w:sz w:val="32"/>
          <w:szCs w:val="32"/>
          <w:lang w:eastAsia="zh-CN"/>
        </w:rPr>
        <w:t>（少年刑事审判庭）</w:t>
      </w:r>
      <w:r>
        <w:rPr>
          <w:rFonts w:hint="eastAsia" w:ascii="仿宋_GB2312" w:hAnsi="仿宋_GB2312" w:eastAsia="仿宋_GB2312"/>
          <w:sz w:val="32"/>
          <w:szCs w:val="32"/>
        </w:rPr>
        <w:t>、刑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三庭、民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一庭 、民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二庭</w:t>
      </w:r>
      <w:r>
        <w:rPr>
          <w:rFonts w:hint="eastAsia" w:ascii="仿宋_GB2312" w:hAnsi="仿宋_GB2312" w:eastAsia="仿宋_GB2312"/>
          <w:sz w:val="32"/>
          <w:szCs w:val="32"/>
          <w:lang w:eastAsia="zh-CN"/>
        </w:rPr>
        <w:t>（知识产权审判庭）</w:t>
      </w:r>
      <w:r>
        <w:rPr>
          <w:rFonts w:hint="eastAsia" w:ascii="仿宋_GB2312" w:hAnsi="仿宋_GB2312" w:eastAsia="仿宋_GB2312"/>
          <w:sz w:val="32"/>
          <w:szCs w:val="32"/>
        </w:rPr>
        <w:t>、民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三庭、民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四庭、行政</w:t>
      </w:r>
      <w:r>
        <w:rPr>
          <w:rFonts w:hint="eastAsia" w:ascii="仿宋_GB2312" w:hAnsi="仿宋_GB2312" w:eastAsia="仿宋_GB2312"/>
          <w:sz w:val="32"/>
          <w:szCs w:val="32"/>
          <w:lang w:eastAsia="zh-CN"/>
        </w:rPr>
        <w:t>审判</w:t>
      </w:r>
      <w:r>
        <w:rPr>
          <w:rFonts w:hint="eastAsia" w:ascii="仿宋_GB2312" w:hAnsi="仿宋_GB2312" w:eastAsia="仿宋_GB2312"/>
          <w:sz w:val="32"/>
          <w:szCs w:val="32"/>
        </w:rPr>
        <w:t>庭</w:t>
      </w:r>
      <w:r>
        <w:rPr>
          <w:rFonts w:hint="eastAsia" w:ascii="仿宋_GB2312" w:hAnsi="仿宋_GB2312" w:eastAsia="仿宋_GB2312"/>
          <w:sz w:val="32"/>
          <w:szCs w:val="32"/>
          <w:lang w:eastAsia="zh-CN"/>
        </w:rPr>
        <w:t>（赔偿委员会办公室）</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审判监督庭、</w:t>
      </w:r>
      <w:r>
        <w:rPr>
          <w:rFonts w:hint="eastAsia" w:ascii="仿宋_GB2312" w:hAnsi="仿宋_GB2312" w:eastAsia="仿宋_GB2312"/>
          <w:sz w:val="32"/>
          <w:szCs w:val="32"/>
        </w:rPr>
        <w:t>执行局（内设执行一庭、执行二庭、综合处）、</w:t>
      </w:r>
      <w:r>
        <w:rPr>
          <w:rFonts w:hint="eastAsia" w:ascii="仿宋_GB2312" w:hAnsi="仿宋_GB2312" w:eastAsia="仿宋_GB2312"/>
          <w:sz w:val="32"/>
          <w:szCs w:val="32"/>
          <w:lang w:eastAsia="zh-CN"/>
        </w:rPr>
        <w:t>研究室、审判管理办公室、</w:t>
      </w:r>
      <w:r>
        <w:rPr>
          <w:rFonts w:hint="eastAsia" w:ascii="仿宋_GB2312" w:hAnsi="仿宋_GB2312" w:eastAsia="仿宋_GB2312"/>
          <w:sz w:val="32"/>
          <w:szCs w:val="32"/>
        </w:rPr>
        <w:t>法警支队、</w:t>
      </w:r>
      <w:r>
        <w:rPr>
          <w:rFonts w:hint="eastAsia" w:ascii="仿宋_GB2312" w:hAnsi="仿宋_GB2312" w:eastAsia="仿宋_GB2312"/>
          <w:sz w:val="32"/>
          <w:szCs w:val="32"/>
          <w:lang w:eastAsia="zh-CN"/>
        </w:rPr>
        <w:t>司法</w:t>
      </w:r>
      <w:r>
        <w:rPr>
          <w:rFonts w:hint="eastAsia" w:ascii="仿宋_GB2312" w:hAnsi="仿宋_GB2312" w:eastAsia="仿宋_GB2312"/>
          <w:sz w:val="32"/>
          <w:szCs w:val="32"/>
        </w:rPr>
        <w:t>技术</w:t>
      </w:r>
      <w:r>
        <w:rPr>
          <w:rFonts w:hint="eastAsia" w:ascii="仿宋_GB2312" w:hAnsi="仿宋_GB2312" w:eastAsia="仿宋_GB2312"/>
          <w:sz w:val="32"/>
          <w:szCs w:val="32"/>
          <w:lang w:eastAsia="zh-CN"/>
        </w:rPr>
        <w:t>鉴定</w:t>
      </w:r>
      <w:r>
        <w:rPr>
          <w:rFonts w:hint="eastAsia" w:ascii="仿宋_GB2312" w:hAnsi="仿宋_GB2312" w:eastAsia="仿宋_GB2312"/>
          <w:sz w:val="32"/>
          <w:szCs w:val="32"/>
        </w:rPr>
        <w:t>处、</w:t>
      </w:r>
      <w:r>
        <w:rPr>
          <w:rFonts w:hint="eastAsia" w:ascii="仿宋_GB2312" w:hAnsi="仿宋_GB2312" w:eastAsia="仿宋_GB2312"/>
          <w:sz w:val="32"/>
          <w:szCs w:val="32"/>
          <w:lang w:eastAsia="zh-CN"/>
        </w:rPr>
        <w:t>司法行装装备管理处等</w:t>
      </w:r>
      <w:r>
        <w:rPr>
          <w:rFonts w:hint="eastAsia" w:ascii="仿宋_GB2312" w:hAnsi="仿宋_GB2312" w:eastAsia="仿宋_GB2312"/>
          <w:sz w:val="32"/>
          <w:szCs w:val="32"/>
          <w:lang w:val="en-US" w:eastAsia="zh-CN"/>
        </w:rPr>
        <w:t>部门，另有</w:t>
      </w:r>
      <w:r>
        <w:rPr>
          <w:rFonts w:hint="eastAsia" w:ascii="仿宋_GB2312" w:hAnsi="仿宋_GB2312" w:eastAsia="仿宋_GB2312" w:cs="仿宋_GB2312"/>
          <w:kern w:val="0"/>
          <w:sz w:val="32"/>
          <w:szCs w:val="32"/>
        </w:rPr>
        <w:t>机关党委</w:t>
      </w:r>
      <w:r>
        <w:rPr>
          <w:rFonts w:hint="eastAsia" w:ascii="仿宋_GB2312" w:hAnsi="仿宋_GB2312" w:eastAsia="仿宋_GB2312" w:cs="仿宋_GB2312"/>
          <w:kern w:val="0"/>
          <w:sz w:val="32"/>
          <w:szCs w:val="32"/>
          <w:lang w:eastAsia="zh-CN"/>
        </w:rPr>
        <w:t>和工会</w:t>
      </w:r>
      <w:r>
        <w:rPr>
          <w:rFonts w:hint="eastAsia" w:ascii="仿宋_GB2312" w:eastAsia="仿宋_GB2312" w:cs="仿宋_GB2312"/>
          <w:spacing w:val="-1"/>
          <w:kern w:val="0"/>
          <w:sz w:val="32"/>
          <w:szCs w:val="32"/>
          <w:lang w:bidi="ar-SA"/>
        </w:rPr>
        <w:t>等机构。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eastAsia="仿宋_GB2312" w:cs="宋体"/>
          <w:b w:val="0"/>
          <w:bCs w:val="0"/>
          <w:kern w:val="0"/>
          <w:sz w:val="32"/>
          <w:szCs w:val="32"/>
          <w:lang w:eastAsia="zh-CN" w:bidi="ar-SA"/>
        </w:rPr>
        <w:t>河南省</w:t>
      </w:r>
      <w:r>
        <w:rPr>
          <w:rFonts w:hint="eastAsia" w:ascii="仿宋_GB2312" w:eastAsia="仿宋_GB2312" w:cs="宋体"/>
          <w:b w:val="0"/>
          <w:bCs w:val="0"/>
          <w:kern w:val="0"/>
          <w:sz w:val="32"/>
          <w:szCs w:val="32"/>
          <w:lang w:bidi="ar-SA"/>
        </w:rPr>
        <w:t>漯河市中级人民法院</w:t>
      </w:r>
      <w:r>
        <w:rPr>
          <w:rFonts w:hint="eastAsia" w:ascii="仿宋_GB2312" w:hAnsi="仿宋_GB2312" w:eastAsia="仿宋_GB2312" w:cs="仿宋_GB2312"/>
          <w:kern w:val="0"/>
          <w:sz w:val="32"/>
          <w:szCs w:val="32"/>
        </w:rPr>
        <w:t>部门决算包括：本级决算、所属事业单位决算。另外，由</w:t>
      </w:r>
      <w:r>
        <w:rPr>
          <w:rFonts w:hint="eastAsia" w:ascii="仿宋_GB2312" w:hAnsi="仿宋_GB2312" w:eastAsia="仿宋_GB2312" w:cs="仿宋_GB2312"/>
          <w:kern w:val="0"/>
          <w:sz w:val="32"/>
          <w:szCs w:val="32"/>
          <w:lang w:eastAsia="zh-CN"/>
        </w:rPr>
        <w:t>法院</w:t>
      </w:r>
      <w:r>
        <w:rPr>
          <w:rFonts w:hint="eastAsia" w:ascii="仿宋_GB2312" w:hAnsi="仿宋_GB2312" w:eastAsia="仿宋_GB2312" w:cs="仿宋_GB2312"/>
          <w:kern w:val="0"/>
          <w:sz w:val="32"/>
          <w:szCs w:val="32"/>
        </w:rPr>
        <w:t>管理的</w:t>
      </w:r>
      <w:r>
        <w:rPr>
          <w:rFonts w:hint="eastAsia" w:ascii="仿宋_GB2312" w:hAnsi="仿宋_GB2312" w:eastAsia="仿宋_GB2312" w:cs="仿宋_GB2312"/>
          <w:kern w:val="0"/>
          <w:sz w:val="32"/>
          <w:szCs w:val="32"/>
          <w:lang w:eastAsia="zh-CN"/>
        </w:rPr>
        <w:t>河南省法官进修学院漯河分院</w:t>
      </w:r>
      <w:r>
        <w:rPr>
          <w:rFonts w:hint="eastAsia" w:ascii="仿宋_GB2312" w:hAnsi="仿宋_GB2312" w:eastAsia="仿宋_GB2312" w:cs="仿宋_GB2312"/>
          <w:kern w:val="0"/>
          <w:sz w:val="32"/>
          <w:szCs w:val="32"/>
        </w:rPr>
        <w:t>、</w:t>
      </w:r>
      <w:r>
        <w:rPr>
          <w:rFonts w:hint="eastAsia" w:ascii="仿宋_GB2312" w:eastAsia="仿宋_GB2312" w:cs="宋体"/>
          <w:b w:val="0"/>
          <w:bCs w:val="0"/>
          <w:kern w:val="0"/>
          <w:sz w:val="32"/>
          <w:szCs w:val="32"/>
          <w:lang w:bidi="ar-SA"/>
        </w:rPr>
        <w:t>漯河市中级人民法院</w:t>
      </w:r>
      <w:r>
        <w:rPr>
          <w:rFonts w:hint="eastAsia" w:ascii="仿宋_GB2312" w:eastAsia="仿宋_GB2312" w:cs="宋体"/>
          <w:b w:val="0"/>
          <w:bCs w:val="0"/>
          <w:kern w:val="0"/>
          <w:sz w:val="32"/>
          <w:szCs w:val="32"/>
          <w:lang w:eastAsia="zh-CN" w:bidi="ar-SA"/>
        </w:rPr>
        <w:t>机关后勤服务中心</w:t>
      </w:r>
      <w:r>
        <w:rPr>
          <w:rFonts w:hint="eastAsia" w:ascii="仿宋_GB2312" w:hAnsi="仿宋_GB2312" w:eastAsia="仿宋_GB2312" w:cs="仿宋_GB2312"/>
          <w:kern w:val="0"/>
          <w:sz w:val="32"/>
          <w:szCs w:val="32"/>
        </w:rPr>
        <w:t>单位决算纳入我部门汇总反映。</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纳入本部门202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二级预算单位</w:t>
      </w:r>
      <w:r>
        <w:rPr>
          <w:rFonts w:hint="eastAsia" w:ascii="仿宋_GB2312" w:hAnsi="仿宋_GB2312" w:eastAsia="仿宋_GB2312" w:cs="仿宋_GB2312"/>
          <w:kern w:val="0"/>
          <w:sz w:val="32"/>
          <w:szCs w:val="32"/>
          <w:lang w:eastAsia="zh-CN"/>
        </w:rPr>
        <w:t>。</w:t>
      </w: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2024年度部门决算表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18"/>
        <w:tblW w:w="0" w:type="auto"/>
        <w:tblInd w:w="0" w:type="dxa"/>
        <w:shd w:val="clear" w:color="auto" w:fill="auto"/>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收入支出决算总表</w:t>
            </w:r>
          </w:p>
        </w:tc>
      </w:tr>
      <w:tr>
        <w:tblPrEx>
          <w:tblCellMar>
            <w:top w:w="0" w:type="dxa"/>
            <w:left w:w="0" w:type="dxa"/>
            <w:bottom w:w="0" w:type="dxa"/>
            <w:right w:w="0" w:type="dxa"/>
          </w:tblCellMar>
        </w:tblPrEx>
        <w:trPr>
          <w:trHeight w:val="117" w:hRule="atLeast"/>
        </w:trPr>
        <w:tc>
          <w:tcPr>
            <w:tcW w:w="4279"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zh-HK"/>
              </w:rPr>
              <w:t>部门：</w:t>
            </w:r>
            <w:r>
              <w:rPr>
                <w:rFonts w:hint="eastAsia" w:ascii="宋体" w:hAnsi="宋体" w:cs="宋体"/>
                <w:color w:val="000000"/>
                <w:kern w:val="0"/>
                <w:sz w:val="20"/>
                <w:szCs w:val="20"/>
                <w:lang w:eastAsia="zh-CN" w:bidi="zh-HK"/>
              </w:rPr>
              <w:t>漯河市中级人民法院</w:t>
            </w:r>
          </w:p>
        </w:tc>
        <w:tc>
          <w:tcPr>
            <w:tcW w:w="82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90"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支出</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5282.06</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32</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二、政府性基金</w:t>
            </w:r>
            <w:r>
              <w:rPr>
                <w:rFonts w:ascii="宋体" w:hAnsi="宋体" w:cs="宋体"/>
                <w:color w:val="000000"/>
                <w:kern w:val="0"/>
                <w:sz w:val="20"/>
                <w:szCs w:val="20"/>
                <w:lang w:bidi="zh-HK"/>
              </w:rPr>
              <w:t>预算财政拨款</w:t>
            </w:r>
            <w:r>
              <w:rPr>
                <w:rFonts w:hint="eastAsia" w:ascii="宋体" w:hAnsi="宋体" w:cs="宋体"/>
                <w:color w:val="000000"/>
                <w:kern w:val="0"/>
                <w:sz w:val="20"/>
                <w:szCs w:val="20"/>
                <w:lang w:bidi="zh-HK"/>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33</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三、国有资本</w:t>
            </w:r>
            <w:r>
              <w:rPr>
                <w:rFonts w:ascii="宋体" w:hAnsi="宋体" w:cs="宋体"/>
                <w:color w:val="000000"/>
                <w:kern w:val="0"/>
                <w:sz w:val="20"/>
                <w:szCs w:val="20"/>
                <w:lang w:bidi="zh-HK"/>
              </w:rPr>
              <w:t>经营预算财政拨款</w:t>
            </w:r>
            <w:r>
              <w:rPr>
                <w:rFonts w:hint="eastAsia" w:ascii="宋体" w:hAnsi="宋体" w:cs="宋体"/>
                <w:color w:val="000000"/>
                <w:kern w:val="0"/>
                <w:sz w:val="20"/>
                <w:szCs w:val="20"/>
                <w:lang w:bidi="zh-HK"/>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34</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35</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4466.93</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36</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37</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3</w:t>
            </w:r>
            <w:r>
              <w:rPr>
                <w:rFonts w:hint="eastAsia" w:ascii="宋体" w:hAnsi="宋体" w:cs="宋体"/>
                <w:color w:val="000000"/>
                <w:kern w:val="0"/>
                <w:sz w:val="20"/>
                <w:szCs w:val="20"/>
                <w:lang w:bidi="zh-HK"/>
              </w:rPr>
              <w:t>8</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3</w:t>
            </w:r>
            <w:r>
              <w:rPr>
                <w:rFonts w:hint="eastAsia" w:ascii="宋体" w:hAnsi="宋体" w:cs="宋体"/>
                <w:color w:val="000000"/>
                <w:kern w:val="0"/>
                <w:sz w:val="20"/>
                <w:szCs w:val="20"/>
                <w:lang w:bidi="zh-HK"/>
              </w:rPr>
              <w:t>9</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592.21</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4</w:t>
            </w:r>
            <w:r>
              <w:rPr>
                <w:rFonts w:hint="eastAsia" w:ascii="宋体" w:hAnsi="宋体" w:cs="宋体"/>
                <w:color w:val="000000"/>
                <w:kern w:val="0"/>
                <w:sz w:val="20"/>
                <w:szCs w:val="20"/>
                <w:lang w:bidi="zh-HK"/>
              </w:rPr>
              <w:t>0</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160.42</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41</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42</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43</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44</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十四、资源勘探工业信息等支出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45</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46</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47</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48</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十八、自然资源海洋气象等支出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49</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50</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296.25</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51</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二十一、国有资本经营预算支出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二十二、灾害防治及应急管理支出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53</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二十三、其他支出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54</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99.24</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二十四、债务还本支出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55</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二十五、债务付息支出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56</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二十六、抗疫特别国债安排的支出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57</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5282.06</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5615.05</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使用非</w:t>
            </w:r>
            <w:r>
              <w:rPr>
                <w:rFonts w:ascii="宋体" w:hAnsi="宋体" w:cs="宋体"/>
                <w:color w:val="000000"/>
                <w:kern w:val="0"/>
                <w:sz w:val="20"/>
                <w:szCs w:val="20"/>
                <w:lang w:bidi="zh-HK"/>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720.94</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60</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387.95</w:t>
            </w: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61</w:t>
            </w:r>
          </w:p>
        </w:tc>
        <w:tc>
          <w:tcPr>
            <w:tcW w:w="1699" w:type="dxa"/>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12"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6003.00</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62</w:t>
            </w:r>
          </w:p>
        </w:tc>
        <w:tc>
          <w:tcPr>
            <w:tcW w:w="1699" w:type="dxa"/>
            <w:tcBorders>
              <w:top w:val="single" w:color="000000" w:sz="4" w:space="0"/>
              <w:left w:val="nil"/>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6003.00</w:t>
            </w:r>
          </w:p>
        </w:tc>
      </w:tr>
      <w:tr>
        <w:tblPrEx>
          <w:tblCellMar>
            <w:top w:w="0" w:type="dxa"/>
            <w:left w:w="0" w:type="dxa"/>
            <w:bottom w:w="0" w:type="dxa"/>
            <w:right w:w="0" w:type="dxa"/>
          </w:tblCellMar>
        </w:tblPrEx>
        <w:trPr>
          <w:trHeight w:val="312" w:hRule="atLeast"/>
        </w:trPr>
        <w:tc>
          <w:tcPr>
            <w:tcW w:w="13988" w:type="dxa"/>
            <w:gridSpan w:val="6"/>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463" w:right="1440" w:bottom="1519" w:left="1440" w:header="720" w:footer="720" w:gutter="0"/>
          <w:pgNumType w:fmt="numberInDash"/>
          <w:cols w:space="0" w:num="1"/>
          <w:rtlGutter w:val="0"/>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846"/>
        <w:gridCol w:w="240"/>
        <w:gridCol w:w="3292"/>
        <w:gridCol w:w="420"/>
        <w:gridCol w:w="1260"/>
        <w:gridCol w:w="293"/>
        <w:gridCol w:w="1192"/>
        <w:gridCol w:w="361"/>
        <w:gridCol w:w="989"/>
        <w:gridCol w:w="564"/>
        <w:gridCol w:w="621"/>
        <w:gridCol w:w="932"/>
        <w:gridCol w:w="148"/>
        <w:gridCol w:w="1405"/>
        <w:gridCol w:w="365"/>
        <w:gridCol w:w="917"/>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84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29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4378"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漯河市中级人民法院</w:t>
            </w:r>
          </w:p>
        </w:tc>
        <w:tc>
          <w:tcPr>
            <w:tcW w:w="4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365" w:hRule="atLeast"/>
        </w:trPr>
        <w:tc>
          <w:tcPr>
            <w:tcW w:w="4378"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8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48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35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18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08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77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917"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科目代码</w:t>
            </w:r>
          </w:p>
        </w:tc>
        <w:tc>
          <w:tcPr>
            <w:tcW w:w="3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8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8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35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18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17"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8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35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18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17"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4378"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17"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312" w:hRule="atLeast"/>
        </w:trPr>
        <w:tc>
          <w:tcPr>
            <w:tcW w:w="4378"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合计</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
                <w:bCs/>
                <w:i w:val="0"/>
                <w:iCs w:val="0"/>
                <w:color w:val="000000"/>
                <w:kern w:val="0"/>
                <w:sz w:val="20"/>
                <w:szCs w:val="20"/>
                <w:u w:val="none"/>
                <w:lang w:val="en-US" w:eastAsia="zh-CN" w:bidi="ar"/>
              </w:rPr>
              <w:t>5,282.06</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
                <w:bCs/>
                <w:i w:val="0"/>
                <w:iCs w:val="0"/>
                <w:color w:val="000000"/>
                <w:kern w:val="0"/>
                <w:sz w:val="20"/>
                <w:szCs w:val="20"/>
                <w:u w:val="none"/>
                <w:lang w:val="en-US" w:eastAsia="zh-CN" w:bidi="ar"/>
              </w:rPr>
              <w:t>5,282.06</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204</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公共安全支出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4,170.21</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4,170.21</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20405</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法院</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4,170.21</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4,170.21</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2040501</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2,999.11</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2,999.11</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2040502</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一般行政管理事务</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307.70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307.70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2040504</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案件审判</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219.00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219.00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2040599</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其他法院支出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644.40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644.40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208</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社会保障和就业支出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594.05</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594.05</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20805</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行政事业单位养老支出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594.05</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594.05</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2080501</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行政单位离退休</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361.75</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361.75</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2080505</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机关事业单位基本养老保险缴费支出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232.30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232.30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卫生健康支出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216.60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216.60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21011</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行政事业单位医疗</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216.60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216.60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2101101</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行政单位医疗</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216.60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216.60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221</w:t>
            </w:r>
          </w:p>
        </w:tc>
        <w:tc>
          <w:tcPr>
            <w:tcW w:w="32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住房保障支出</w:t>
            </w:r>
          </w:p>
        </w:tc>
        <w:tc>
          <w:tcPr>
            <w:tcW w:w="16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301.20</w:t>
            </w:r>
          </w:p>
        </w:tc>
        <w:tc>
          <w:tcPr>
            <w:tcW w:w="14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301.20</w:t>
            </w:r>
          </w:p>
        </w:tc>
        <w:tc>
          <w:tcPr>
            <w:tcW w:w="13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22102</w:t>
            </w:r>
          </w:p>
        </w:tc>
        <w:tc>
          <w:tcPr>
            <w:tcW w:w="329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住房改革支出</w:t>
            </w:r>
          </w:p>
        </w:tc>
        <w:tc>
          <w:tcPr>
            <w:tcW w:w="16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301.20</w:t>
            </w:r>
          </w:p>
        </w:tc>
        <w:tc>
          <w:tcPr>
            <w:tcW w:w="14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301.20</w:t>
            </w:r>
          </w:p>
        </w:tc>
        <w:tc>
          <w:tcPr>
            <w:tcW w:w="13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3292"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16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301.20</w:t>
            </w:r>
          </w:p>
        </w:tc>
        <w:tc>
          <w:tcPr>
            <w:tcW w:w="14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301.20</w:t>
            </w:r>
          </w:p>
        </w:tc>
        <w:tc>
          <w:tcPr>
            <w:tcW w:w="13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1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0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c>
          <w:tcPr>
            <w:tcW w:w="917"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212" w:type="dxa"/>
        <w:tblInd w:w="0" w:type="dxa"/>
        <w:tblLayout w:type="fixed"/>
        <w:tblCellMar>
          <w:top w:w="0" w:type="dxa"/>
          <w:left w:w="0" w:type="dxa"/>
          <w:bottom w:w="0" w:type="dxa"/>
          <w:right w:w="0" w:type="dxa"/>
        </w:tblCellMar>
      </w:tblPr>
      <w:tblGrid>
        <w:gridCol w:w="1120"/>
        <w:gridCol w:w="63"/>
        <w:gridCol w:w="27"/>
        <w:gridCol w:w="3257"/>
        <w:gridCol w:w="90"/>
        <w:gridCol w:w="1575"/>
        <w:gridCol w:w="227"/>
        <w:gridCol w:w="1243"/>
        <w:gridCol w:w="558"/>
        <w:gridCol w:w="972"/>
        <w:gridCol w:w="830"/>
        <w:gridCol w:w="835"/>
        <w:gridCol w:w="966"/>
        <w:gridCol w:w="234"/>
        <w:gridCol w:w="1991"/>
        <w:gridCol w:w="224"/>
      </w:tblGrid>
      <w:tr>
        <w:tblPrEx>
          <w:tblCellMar>
            <w:top w:w="0" w:type="dxa"/>
            <w:left w:w="0" w:type="dxa"/>
            <w:bottom w:w="0" w:type="dxa"/>
            <w:right w:w="0" w:type="dxa"/>
          </w:tblCellMar>
        </w:tblPrEx>
        <w:trPr>
          <w:gridAfter w:val="1"/>
          <w:wAfter w:w="224" w:type="dxa"/>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07"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25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252"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25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224" w:type="dxa"/>
          <w:trHeight w:val="450" w:hRule="atLeast"/>
        </w:trPr>
        <w:tc>
          <w:tcPr>
            <w:tcW w:w="4467"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6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47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53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66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20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91"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gridAfter w:val="1"/>
          <w:wAfter w:w="224" w:type="dxa"/>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2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91"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24" w:type="dxa"/>
          <w:trHeight w:val="312"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2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91"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24" w:type="dxa"/>
          <w:trHeight w:val="312" w:hRule="atLeast"/>
        </w:trPr>
        <w:tc>
          <w:tcPr>
            <w:tcW w:w="4467"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91"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224" w:type="dxa"/>
          <w:trHeight w:val="312" w:hRule="atLeast"/>
        </w:trPr>
        <w:tc>
          <w:tcPr>
            <w:tcW w:w="4467"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5,615.05</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4,012.67</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1,602.38</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公共安全支出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4,466.93</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2,963.79</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1,503.14</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法院</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4,466.93</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2,963.79</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1,503.14</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2040501</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3,304.34</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2,963.79</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340.55</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2040502</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323.92</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323.92</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2040504</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案件审判</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105.37</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105.37</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2040599</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其他法院支出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733.30</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733.30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2080501</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行政单位离退休</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360.51</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360.51</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231.71</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231.71</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卫生健康支出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221</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住房保障支出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住房改革支出</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15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3284"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66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147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153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6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91"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gridAfter w:val="1"/>
          <w:wAfter w:w="224" w:type="dxa"/>
          <w:trHeight w:val="312"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726"/>
        <w:gridCol w:w="688"/>
        <w:gridCol w:w="3504"/>
        <w:gridCol w:w="2850"/>
        <w:gridCol w:w="3075"/>
        <w:gridCol w:w="3145"/>
      </w:tblGrid>
      <w:tr>
        <w:tblPrEx>
          <w:tblCellMar>
            <w:top w:w="0" w:type="dxa"/>
            <w:left w:w="0" w:type="dxa"/>
            <w:bottom w:w="0" w:type="dxa"/>
            <w:right w:w="0" w:type="dxa"/>
          </w:tblCellMar>
        </w:tblPrEx>
        <w:trPr>
          <w:trHeight w:val="474"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tbl>
            <w:tblPr>
              <w:tblStyle w:val="18"/>
              <w:tblW w:w="0" w:type="auto"/>
              <w:tblInd w:w="0" w:type="dxa"/>
              <w:shd w:val="clear" w:color="auto" w:fill="auto"/>
              <w:tblLayout w:type="fixed"/>
              <w:tblCellMar>
                <w:top w:w="0" w:type="dxa"/>
                <w:left w:w="0" w:type="dxa"/>
                <w:bottom w:w="0" w:type="dxa"/>
                <w:right w:w="0" w:type="dxa"/>
              </w:tblCellMar>
            </w:tblPr>
            <w:tblGrid>
              <w:gridCol w:w="3417"/>
              <w:gridCol w:w="593"/>
              <w:gridCol w:w="1290"/>
              <w:gridCol w:w="3555"/>
              <w:gridCol w:w="658"/>
              <w:gridCol w:w="1127"/>
              <w:gridCol w:w="1185"/>
              <w:gridCol w:w="14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财政拨款收入支出决算总表</w:t>
                  </w:r>
                </w:p>
              </w:tc>
              <w:tc>
                <w:tcPr>
                  <w:tcW w:w="1058" w:type="dxa"/>
                  <w:tcBorders>
                    <w:top w:val="nil"/>
                    <w:left w:val="nil"/>
                    <w:bottom w:val="nil"/>
                    <w:right w:val="nil"/>
                  </w:tcBorders>
                  <w:shd w:val="clear" w:color="auto" w:fill="auto"/>
                  <w:noWrap w:val="0"/>
                  <w:vAlign w:val="top"/>
                </w:tcPr>
                <w:p>
                  <w:pPr>
                    <w:widowControl/>
                    <w:jc w:val="center"/>
                    <w:textAlignment w:val="center"/>
                    <w:rPr>
                      <w:rFonts w:hint="eastAsia" w:ascii="华文中宋" w:hAnsi="华文中宋" w:eastAsia="华文中宋" w:cs="华文中宋"/>
                      <w:color w:val="000000"/>
                      <w:kern w:val="0"/>
                      <w:sz w:val="32"/>
                      <w:szCs w:val="32"/>
                      <w:lang w:bidi="zh-HK"/>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593"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29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658"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2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33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kern w:val="0"/>
                      <w:sz w:val="20"/>
                      <w:szCs w:val="20"/>
                      <w:lang w:bidi="zh-HK"/>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593"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29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658"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2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33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kern w:val="0"/>
                      <w:sz w:val="20"/>
                      <w:szCs w:val="20"/>
                      <w:lang w:bidi="zh-HK"/>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02" w:hRule="atLeast"/>
              </w:trPr>
              <w:tc>
                <w:tcPr>
                  <w:tcW w:w="5300"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收入</w:t>
                  </w:r>
                </w:p>
              </w:tc>
              <w:tc>
                <w:tcPr>
                  <w:tcW w:w="8673"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金额</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一般公共预算财政拨款</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top"/>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zh-HK"/>
                    </w:rPr>
                  </w:pPr>
                  <w:r>
                    <w:rPr>
                      <w:rFonts w:ascii="宋体" w:hAnsi="宋体" w:cs="宋体"/>
                      <w:color w:val="000000"/>
                      <w:kern w:val="0"/>
                      <w:sz w:val="20"/>
                      <w:szCs w:val="20"/>
                      <w:lang w:bidi="zh-HK"/>
                    </w:rPr>
                    <w:t>5</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5282.06</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一、一般公共服务支出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33</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二、政府性基金预算财政拨款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二、外交支出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34</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三、国防支出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35</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四、公共安全支出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36</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4466.93</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4466.93</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五、教育支出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37</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六、科学技术支出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38</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七、文化旅游体育与传媒支出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39</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40</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592.21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592.21</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lang w:val="en-US" w:eastAsia="zh-CN"/>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九、卫生健康支出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41</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160.42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160.42</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十、节能环保支出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42</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十一、城乡社区支出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43</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十二、农林水支出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44</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十三、交通运输支出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45</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十四、资源勘探工业信息等支出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46</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47</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十六、金融支出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48</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49</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十八、自然资源海洋气象等支出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50</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51</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296.25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296.25</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52</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lang w:val="en-US" w:eastAsia="zh-CN"/>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二十一、国有资本经营预算支出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53</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二十二、灾害防治及应急管理支出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54</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二十三、其他支出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55</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二十四、债务还本支出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56</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二十五、债务付息支出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57</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二十六、抗疫特别国债安排的支出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58</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本年收入合计</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5282.06</w:t>
                  </w: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本年支出合计</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5515.81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5515.81</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b/>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b/>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年初财政拨款结转和结余</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600.94</w:t>
                  </w: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年末财政拨款结转和结余</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367.19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367.19</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一般公共预算财政拨款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600.94</w:t>
                  </w: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61</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shd w:val="clear" w:color="auto" w:fill="auto"/>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政府性基金预算财政拨款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290"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62</w:t>
                  </w:r>
                </w:p>
              </w:tc>
              <w:tc>
                <w:tcPr>
                  <w:tcW w:w="1127"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90" w:type="dxa"/>
                  <w:gridSpan w:val="2"/>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shd w:val="clear" w:color="auto" w:fill="auto"/>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290"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63</w:t>
                  </w:r>
                </w:p>
              </w:tc>
              <w:tc>
                <w:tcPr>
                  <w:tcW w:w="1127"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90" w:type="dxa"/>
                  <w:gridSpan w:val="2"/>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shd w:val="clear" w:color="auto" w:fill="auto"/>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129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5883.00</w:t>
                  </w:r>
                </w:p>
              </w:tc>
              <w:tc>
                <w:tcPr>
                  <w:tcW w:w="3555" w:type="dxa"/>
                  <w:tcBorders>
                    <w:top w:val="single" w:color="000000" w:sz="4" w:space="0"/>
                    <w:left w:val="single" w:color="000000" w:sz="4"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64</w:t>
                  </w:r>
                </w:p>
              </w:tc>
              <w:tc>
                <w:tcPr>
                  <w:tcW w:w="1127"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5883.00</w:t>
                  </w:r>
                </w:p>
              </w:tc>
              <w:tc>
                <w:tcPr>
                  <w:tcW w:w="118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5883.00</w:t>
                  </w:r>
                </w:p>
              </w:tc>
              <w:tc>
                <w:tcPr>
                  <w:tcW w:w="1090" w:type="dxa"/>
                  <w:gridSpan w:val="2"/>
                  <w:tcBorders>
                    <w:top w:val="single" w:color="000000" w:sz="4" w:space="0"/>
                    <w:left w:val="nil"/>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b/>
                      <w:bCs/>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8" w:space="0"/>
                    <w:right w:val="single" w:color="000000" w:sz="8" w:space="0"/>
                  </w:tcBorders>
                  <w:shd w:val="clear" w:color="auto" w:fill="auto"/>
                  <w:noWrap w:val="0"/>
                  <w:vAlign w:val="center"/>
                </w:tcPr>
                <w:p>
                  <w:pPr>
                    <w:jc w:val="right"/>
                    <w:rPr>
                      <w:rFonts w:hint="eastAsia" w:ascii="宋体" w:hAnsi="宋体" w:cs="宋体"/>
                      <w:b/>
                      <w:bCs/>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312" w:hRule="atLeast"/>
              </w:trPr>
              <w:tc>
                <w:tcPr>
                  <w:tcW w:w="12915" w:type="dxa"/>
                  <w:gridSpan w:val="9"/>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shd w:val="clear" w:color="auto" w:fill="auto"/>
                  <w:noWrap w:val="0"/>
                  <w:vAlign w:val="top"/>
                </w:tcPr>
                <w:p>
                  <w:pPr>
                    <w:widowControl/>
                    <w:jc w:val="left"/>
                    <w:textAlignment w:val="center"/>
                    <w:rPr>
                      <w:rFonts w:hint="eastAsia" w:ascii="宋体" w:hAnsi="宋体" w:cs="宋体"/>
                      <w:color w:val="000000"/>
                      <w:kern w:val="0"/>
                      <w:sz w:val="20"/>
                      <w:szCs w:val="20"/>
                      <w:lang w:bidi="zh-HK"/>
                    </w:rPr>
                  </w:pPr>
                </w:p>
              </w:tc>
            </w:tr>
          </w:tbl>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both"/>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504"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8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0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14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17"/>
                <w:rFonts w:hint="default"/>
                <w:lang w:bidi="ar"/>
              </w:rPr>
              <w:t>5表</w:t>
            </w:r>
          </w:p>
        </w:tc>
      </w:tr>
      <w:tr>
        <w:tblPrEx>
          <w:tblCellMar>
            <w:top w:w="0" w:type="dxa"/>
            <w:left w:w="0" w:type="dxa"/>
            <w:bottom w:w="0" w:type="dxa"/>
            <w:right w:w="0" w:type="dxa"/>
          </w:tblCellMar>
        </w:tblPrEx>
        <w:trPr>
          <w:trHeight w:val="300" w:hRule="atLeast"/>
        </w:trPr>
        <w:tc>
          <w:tcPr>
            <w:tcW w:w="4918"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漯河市中级人民法院</w:t>
            </w:r>
          </w:p>
        </w:tc>
        <w:tc>
          <w:tcPr>
            <w:tcW w:w="28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0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14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5" w:hRule="atLeast"/>
        </w:trPr>
        <w:tc>
          <w:tcPr>
            <w:tcW w:w="4918"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12"/>
                <w:rFonts w:hint="default"/>
                <w:sz w:val="20"/>
                <w:szCs w:val="20"/>
                <w:lang w:bidi="ar"/>
              </w:rPr>
              <w:t xml:space="preserve">   </w:t>
            </w:r>
            <w:r>
              <w:rPr>
                <w:rStyle w:val="11"/>
                <w:rFonts w:hint="default"/>
                <w:sz w:val="20"/>
                <w:szCs w:val="20"/>
                <w:lang w:bidi="ar"/>
              </w:rPr>
              <w:t>目</w:t>
            </w:r>
          </w:p>
        </w:tc>
        <w:tc>
          <w:tcPr>
            <w:tcW w:w="9070"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329"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5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285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07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145"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29"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5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85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0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45"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5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85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0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45"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491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312" w:hRule="atLeast"/>
        </w:trPr>
        <w:tc>
          <w:tcPr>
            <w:tcW w:w="491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5,515.81</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4,012.67</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1,503.14</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公共安全支出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4,466.93</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2,963.79</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1,503.14</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法院</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4,466.93</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2,963.79</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1,503.14</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2040501</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3,304.34</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2,963.79</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340.55</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2040502</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323.92</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323.92</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2040504</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案件审判</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105.37</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105.37</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2040599</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其他法院支出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733.30</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733.30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592.21</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2080501</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行政单位离退休</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360.51</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360.51</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231.71</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231.71</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20808</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抚恤</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2080801</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死亡抚恤</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卫生健康支出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160.42</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221</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住房保障支出</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296.25</w:t>
            </w:r>
          </w:p>
        </w:tc>
        <w:tc>
          <w:tcPr>
            <w:tcW w:w="314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332" w:type="dxa"/>
        <w:tblInd w:w="0" w:type="dxa"/>
        <w:tblLayout w:type="fixed"/>
        <w:tblCellMar>
          <w:top w:w="0" w:type="dxa"/>
          <w:left w:w="0" w:type="dxa"/>
          <w:bottom w:w="0" w:type="dxa"/>
          <w:right w:w="0" w:type="dxa"/>
        </w:tblCellMar>
      </w:tblPr>
      <w:tblGrid>
        <w:gridCol w:w="1008"/>
        <w:gridCol w:w="2889"/>
        <w:gridCol w:w="834"/>
        <w:gridCol w:w="870"/>
        <w:gridCol w:w="2066"/>
        <w:gridCol w:w="938"/>
        <w:gridCol w:w="870"/>
        <w:gridCol w:w="3857"/>
        <w:gridCol w:w="1000"/>
      </w:tblGrid>
      <w:tr>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88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34"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85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00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3897" w:type="dxa"/>
            <w:gridSpan w:val="2"/>
            <w:tcBorders>
              <w:top w:val="nil"/>
              <w:left w:val="nil"/>
              <w:bottom w:val="nil"/>
              <w:right w:val="nil"/>
            </w:tcBorders>
            <w:noWrap/>
            <w:tcMar>
              <w:top w:w="15" w:type="dxa"/>
              <w:left w:w="15" w:type="dxa"/>
              <w:right w:w="15" w:type="dxa"/>
            </w:tcMar>
            <w:vAlign w:val="center"/>
          </w:tcPr>
          <w:p>
            <w:pPr>
              <w:rPr>
                <w:rFonts w:hint="eastAsia" w:ascii="Arial" w:hAnsi="Arial" w:eastAsia="宋体" w:cs="Arial"/>
                <w:color w:val="000000"/>
                <w:sz w:val="20"/>
                <w:szCs w:val="20"/>
                <w:lang w:eastAsia="zh-CN"/>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r>
              <w:rPr>
                <w:rFonts w:hint="eastAsia" w:ascii="Arial" w:hAnsi="Arial" w:cs="Arial"/>
                <w:color w:val="000000"/>
                <w:kern w:val="0"/>
                <w:sz w:val="20"/>
                <w:szCs w:val="20"/>
                <w:lang w:eastAsia="zh-CN" w:bidi="ar"/>
              </w:rPr>
              <w:t>漯河市中级人民法院</w:t>
            </w:r>
          </w:p>
        </w:tc>
        <w:tc>
          <w:tcPr>
            <w:tcW w:w="834"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857"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1000"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09"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88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83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85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00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4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3073.99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538.51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44.55</w:t>
            </w:r>
          </w:p>
        </w:tc>
      </w:tr>
      <w:tr>
        <w:tblPrEx>
          <w:tblCellMar>
            <w:top w:w="0" w:type="dxa"/>
            <w:left w:w="0" w:type="dxa"/>
            <w:bottom w:w="0" w:type="dxa"/>
            <w:right w:w="0" w:type="dxa"/>
          </w:tblCellMar>
        </w:tblPrEx>
        <w:trPr>
          <w:trHeight w:val="21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777.60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599.51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561.82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88.52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231.71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74.90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296.25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19.57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42.63</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354.89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355.62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350.93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98.57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89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897"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83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3429.61</w:t>
            </w:r>
          </w:p>
        </w:tc>
        <w:tc>
          <w:tcPr>
            <w:tcW w:w="8601"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00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583.06</w:t>
            </w:r>
          </w:p>
        </w:tc>
      </w:tr>
      <w:tr>
        <w:tblPrEx>
          <w:tblCellMar>
            <w:top w:w="0" w:type="dxa"/>
            <w:left w:w="0" w:type="dxa"/>
            <w:bottom w:w="0" w:type="dxa"/>
            <w:right w:w="0" w:type="dxa"/>
          </w:tblCellMar>
        </w:tblPrEx>
        <w:trPr>
          <w:trHeight w:val="390" w:hRule="atLeast"/>
        </w:trPr>
        <w:tc>
          <w:tcPr>
            <w:tcW w:w="14332"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p>
            <w:pPr>
              <w:widowControl/>
              <w:jc w:val="left"/>
              <w:textAlignment w:val="center"/>
              <w:rPr>
                <w:rFonts w:ascii="宋体" w:hAnsi="宋体" w:cs="宋体"/>
                <w:color w:val="000000"/>
                <w:kern w:val="0"/>
                <w:sz w:val="20"/>
                <w:szCs w:val="20"/>
                <w:lang w:bidi="ar"/>
              </w:rPr>
            </w:pPr>
          </w:p>
          <w:p>
            <w:pPr>
              <w:widowControl/>
              <w:jc w:val="left"/>
              <w:textAlignment w:val="center"/>
              <w:rPr>
                <w:rFonts w:ascii="宋体" w:hAnsi="宋体" w:cs="宋体"/>
                <w:color w:val="000000"/>
                <w:kern w:val="0"/>
                <w:sz w:val="20"/>
                <w:szCs w:val="20"/>
                <w:lang w:bidi="ar"/>
              </w:rPr>
            </w:pPr>
          </w:p>
          <w:p>
            <w:pPr>
              <w:widowControl/>
              <w:jc w:val="left"/>
              <w:textAlignment w:val="center"/>
              <w:rPr>
                <w:rFonts w:ascii="宋体" w:hAnsi="宋体" w:cs="宋体"/>
                <w:color w:val="000000"/>
                <w:kern w:val="0"/>
                <w:sz w:val="20"/>
                <w:szCs w:val="20"/>
                <w:lang w:bidi="ar"/>
              </w:rPr>
            </w:pPr>
          </w:p>
          <w:p>
            <w:pPr>
              <w:widowControl/>
              <w:jc w:val="left"/>
              <w:textAlignment w:val="center"/>
              <w:rPr>
                <w:rFonts w:ascii="宋体" w:hAnsi="宋体" w:cs="宋体"/>
                <w:color w:val="000000"/>
                <w:kern w:val="0"/>
                <w:sz w:val="20"/>
                <w:szCs w:val="20"/>
                <w:lang w:bidi="ar"/>
              </w:rPr>
            </w:pPr>
          </w:p>
          <w:p>
            <w:pPr>
              <w:widowControl/>
              <w:jc w:val="left"/>
              <w:textAlignment w:val="center"/>
              <w:rPr>
                <w:rFonts w:ascii="宋体" w:hAnsi="宋体" w:cs="宋体"/>
                <w:color w:val="000000"/>
                <w:kern w:val="0"/>
                <w:sz w:val="20"/>
                <w:szCs w:val="20"/>
                <w:lang w:bidi="ar"/>
              </w:rPr>
            </w:pPr>
          </w:p>
          <w:p>
            <w:pPr>
              <w:widowControl/>
              <w:jc w:val="left"/>
              <w:textAlignment w:val="center"/>
              <w:rPr>
                <w:rFonts w:ascii="宋体" w:hAnsi="宋体" w:cs="宋体"/>
                <w:color w:val="000000"/>
                <w:kern w:val="0"/>
                <w:sz w:val="20"/>
                <w:szCs w:val="20"/>
                <w:lang w:bidi="ar"/>
              </w:rPr>
            </w:pPr>
          </w:p>
          <w:p>
            <w:pPr>
              <w:widowControl/>
              <w:jc w:val="left"/>
              <w:textAlignment w:val="center"/>
              <w:rPr>
                <w:rFonts w:ascii="宋体" w:hAnsi="宋体" w:cs="宋体"/>
                <w:color w:val="000000"/>
                <w:kern w:val="0"/>
                <w:sz w:val="20"/>
                <w:szCs w:val="20"/>
                <w:lang w:bidi="ar"/>
              </w:rPr>
            </w:pPr>
          </w:p>
          <w:tbl>
            <w:tblPr>
              <w:tblStyle w:val="5"/>
              <w:tblW w:w="14175" w:type="dxa"/>
              <w:tblInd w:w="0" w:type="dxa"/>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607"/>
              <w:gridCol w:w="2409"/>
            </w:tblGrid>
            <w:tr>
              <w:tblPrEx>
                <w:tblCellMar>
                  <w:top w:w="0" w:type="dxa"/>
                  <w:left w:w="0" w:type="dxa"/>
                  <w:bottom w:w="0" w:type="dxa"/>
                  <w:right w:w="0" w:type="dxa"/>
                </w:tblCellMar>
              </w:tblPrEx>
              <w:trPr>
                <w:trHeight w:val="600" w:hRule="atLeast"/>
              </w:trPr>
              <w:tc>
                <w:tcPr>
                  <w:tcW w:w="14175" w:type="dxa"/>
                  <w:gridSpan w:val="1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Fonts w:ascii="宋体" w:hAnsi="宋体" w:cs="宋体"/>
                      <w:color w:val="000000"/>
                      <w:kern w:val="0"/>
                      <w:sz w:val="20"/>
                      <w:szCs w:val="20"/>
                      <w:lang w:bidi="ar"/>
                    </w:rPr>
                    <w:t>7</w:t>
                  </w:r>
                  <w:r>
                    <w:rPr>
                      <w:rFonts w:hint="eastAsia" w:ascii="宋体" w:hAnsi="宋体" w:cs="宋体"/>
                      <w:color w:val="000000"/>
                      <w:kern w:val="0"/>
                      <w:sz w:val="20"/>
                      <w:szCs w:val="20"/>
                      <w:lang w:bidi="ar"/>
                    </w:rPr>
                    <w:t>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60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gridSpan w:val="2"/>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490"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24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637" w:type="dxa"/>
                  <w:gridSpan w:val="2"/>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24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5"/>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4175" w:type="dxa"/>
                  <w:gridSpan w:val="16"/>
                  <w:tcBorders>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tbl>
                  <w:tblPr>
                    <w:tblStyle w:val="5"/>
                    <w:tblW w:w="11980" w:type="dxa"/>
                    <w:tblInd w:w="868" w:type="dxa"/>
                    <w:tblLayout w:type="fixed"/>
                    <w:tblCellMar>
                      <w:top w:w="0" w:type="dxa"/>
                      <w:left w:w="108" w:type="dxa"/>
                      <w:bottom w:w="0" w:type="dxa"/>
                      <w:right w:w="108" w:type="dxa"/>
                    </w:tblCellMar>
                  </w:tblPr>
                  <w:tblGrid>
                    <w:gridCol w:w="1060"/>
                    <w:gridCol w:w="560"/>
                    <w:gridCol w:w="1820"/>
                    <w:gridCol w:w="2620"/>
                    <w:gridCol w:w="2620"/>
                    <w:gridCol w:w="3300"/>
                  </w:tblGrid>
                  <w:tr>
                    <w:tblPrEx>
                      <w:tblCellMar>
                        <w:top w:w="0" w:type="dxa"/>
                        <w:left w:w="108" w:type="dxa"/>
                        <w:bottom w:w="0" w:type="dxa"/>
                        <w:right w:w="108" w:type="dxa"/>
                      </w:tblCellMar>
                    </w:tblPrEx>
                    <w:trPr>
                      <w:trHeight w:val="720" w:hRule="atLeast"/>
                    </w:trPr>
                    <w:tc>
                      <w:tcPr>
                        <w:tcW w:w="11980" w:type="dxa"/>
                        <w:gridSpan w:val="6"/>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300" w:type="dxa"/>
                        <w:tcBorders>
                          <w:top w:val="nil"/>
                          <w:left w:val="nil"/>
                          <w:bottom w:val="nil"/>
                          <w:right w:val="nil"/>
                        </w:tcBorders>
                        <w:shd w:val="clear" w:color="000000" w:fill="FFFFFF"/>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300" w:type="dxa"/>
                        <w:tcBorders>
                          <w:top w:val="nil"/>
                          <w:left w:val="nil"/>
                          <w:bottom w:val="nil"/>
                          <w:right w:val="nil"/>
                        </w:tcBorders>
                        <w:shd w:val="clear" w:color="000000" w:fill="FFFFFF"/>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项 </w:t>
                        </w:r>
                        <w:r>
                          <w:rPr>
                            <w:rFonts w:hint="eastAsia" w:ascii="宋体" w:hAnsi="宋体" w:cs="宋体"/>
                            <w:color w:val="000000"/>
                            <w:kern w:val="0"/>
                            <w:sz w:val="22"/>
                          </w:rPr>
                          <w:t xml:space="preserve">   </w:t>
                        </w:r>
                        <w:r>
                          <w:rPr>
                            <w:rFonts w:hint="eastAsia" w:ascii="宋体" w:hAnsi="宋体" w:cs="宋体"/>
                            <w:kern w:val="0"/>
                            <w:sz w:val="24"/>
                            <w:szCs w:val="24"/>
                          </w:rPr>
                          <w:t>目</w:t>
                        </w:r>
                      </w:p>
                    </w:tc>
                    <w:tc>
                      <w:tcPr>
                        <w:tcW w:w="8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科目代码</w:t>
                        </w:r>
                      </w:p>
                    </w:tc>
                    <w:tc>
                      <w:tcPr>
                        <w:tcW w:w="1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科目名称</w:t>
                        </w:r>
                      </w:p>
                    </w:tc>
                    <w:tc>
                      <w:tcPr>
                        <w:tcW w:w="26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6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基本支出  </w:t>
                        </w:r>
                      </w:p>
                    </w:tc>
                    <w:tc>
                      <w:tcPr>
                        <w:tcW w:w="33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2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33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1980" w:type="dxa"/>
                        <w:gridSpan w:val="6"/>
                        <w:tcBorders>
                          <w:top w:val="nil"/>
                          <w:left w:val="nil"/>
                          <w:bottom w:val="nil"/>
                          <w:right w:val="nil"/>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tc>
                  </w:tr>
                  <w:tr>
                    <w:tblPrEx>
                      <w:tblCellMar>
                        <w:top w:w="0" w:type="dxa"/>
                        <w:left w:w="108" w:type="dxa"/>
                        <w:bottom w:w="0" w:type="dxa"/>
                        <w:right w:w="108" w:type="dxa"/>
                      </w:tblCellMar>
                    </w:tblPrEx>
                    <w:trPr>
                      <w:trHeight w:val="285" w:hRule="atLeast"/>
                    </w:trPr>
                    <w:tc>
                      <w:tcPr>
                        <w:tcW w:w="11980" w:type="dxa"/>
                        <w:gridSpan w:val="6"/>
                        <w:tcBorders>
                          <w:top w:val="nil"/>
                          <w:left w:val="nil"/>
                          <w:bottom w:val="nil"/>
                          <w:right w:val="nil"/>
                        </w:tcBorders>
                        <w:noWrap w:val="0"/>
                        <w:vAlign w:val="center"/>
                      </w:tcPr>
                      <w:p>
                        <w:pPr>
                          <w:widowControl/>
                          <w:jc w:val="left"/>
                          <w:rPr>
                            <w:rFonts w:hint="eastAsia" w:ascii="宋体" w:hAnsi="宋体" w:cs="宋体"/>
                            <w:bCs/>
                            <w:kern w:val="0"/>
                            <w:sz w:val="24"/>
                            <w:szCs w:val="24"/>
                          </w:rPr>
                        </w:pPr>
                        <w:r>
                          <w:rPr>
                            <w:rFonts w:hint="eastAsia" w:ascii="宋体" w:hAnsi="宋体" w:cs="宋体"/>
                            <w:bCs/>
                            <w:kern w:val="0"/>
                            <w:sz w:val="24"/>
                            <w:szCs w:val="24"/>
                          </w:rPr>
                          <w:t>说明：我部门没有使用国有资本经营预算安排的支出，故本表无数据。</w:t>
                        </w:r>
                      </w:p>
                    </w:tc>
                  </w:tr>
                </w:tbl>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bl>
                  <w:tblPr>
                    <w:tblStyle w:val="5"/>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Fonts w:ascii="宋体" w:hAnsi="宋体" w:cs="宋体"/>
                            <w:color w:val="000000"/>
                            <w:kern w:val="0"/>
                            <w:sz w:val="20"/>
                            <w:szCs w:val="20"/>
                            <w:lang w:bidi="ar"/>
                          </w:rPr>
                          <w:t>9</w:t>
                        </w:r>
                        <w:r>
                          <w:rPr>
                            <w:rFonts w:hint="eastAsia" w:ascii="宋体" w:hAnsi="宋体" w:cs="宋体"/>
                            <w:color w:val="000000"/>
                            <w:kern w:val="0"/>
                            <w:sz w:val="20"/>
                            <w:szCs w:val="20"/>
                            <w:lang w:bidi="ar"/>
                          </w:rPr>
                          <w:t>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149"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公务用车购置及运行维护费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公务用车购置及运行维护费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运行维护费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运行维护费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42.63</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47.37</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94.71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8.77</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84.74</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42.63</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42.11</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sz w:val="20"/>
                <w:szCs w:val="20"/>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tabs>
          <w:tab w:val="left" w:pos="5665"/>
        </w:tabs>
        <w:rPr>
          <w:rFonts w:ascii="仿宋_GB2312" w:hAnsi="仿宋_GB2312" w:eastAsia="仿宋_GB2312" w:cs="仿宋_GB2312"/>
          <w:sz w:val="32"/>
          <w:szCs w:val="32"/>
        </w:rPr>
      </w:pPr>
    </w:p>
    <w:p>
      <w:pPr>
        <w:tabs>
          <w:tab w:val="left" w:pos="5665"/>
        </w:tabs>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2024年度部门决算情况说明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color w:val="auto"/>
          <w:sz w:val="32"/>
          <w:szCs w:val="32"/>
        </w:rPr>
      </w:pPr>
      <w:r>
        <w:rPr>
          <w:rFonts w:hint="eastAsia" w:ascii="仿宋_GB2312" w:eastAsia="仿宋_GB2312"/>
          <w:sz w:val="32"/>
          <w:szCs w:val="32"/>
        </w:rPr>
        <w:t>2024</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6003.00</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500.99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7.70</w:t>
      </w:r>
      <w:r>
        <w:rPr>
          <w:rFonts w:hint="eastAsia" w:ascii="仿宋_GB2312" w:hAnsi="仿宋_GB2312" w:eastAsia="仿宋_GB2312" w:cs="仿宋_GB2312"/>
          <w:sz w:val="32"/>
          <w:szCs w:val="32"/>
        </w:rPr>
        <w:t>%。主要原因</w:t>
      </w:r>
      <w:r>
        <w:rPr>
          <w:rFonts w:hint="eastAsia" w:ascii="仿宋_GB2312" w:hAnsi="仿宋_GB2312" w:eastAsia="仿宋_GB2312" w:cs="仿宋_GB2312"/>
          <w:color w:val="auto"/>
          <w:sz w:val="32"/>
          <w:szCs w:val="32"/>
          <w:lang w:val="en-US" w:eastAsia="zh-CN"/>
        </w:rPr>
        <w:t>2024年度项目资金减少</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5282.06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5282.06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5615.05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4012.67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71.46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1602.38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28.54</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eastAsia="仿宋_GB2312"/>
          <w:sz w:val="32"/>
          <w:szCs w:val="32"/>
        </w:rPr>
        <w:t>年度财政拨款收、支总计均为</w:t>
      </w:r>
      <w:r>
        <w:rPr>
          <w:rFonts w:hint="eastAsia" w:ascii="仿宋_GB2312" w:eastAsia="仿宋_GB2312"/>
          <w:sz w:val="32"/>
          <w:szCs w:val="32"/>
          <w:lang w:val="en-US" w:eastAsia="zh-CN"/>
        </w:rPr>
        <w:t>5883.00</w:t>
      </w:r>
      <w:r>
        <w:rPr>
          <w:rFonts w:hint="eastAsia" w:ascii="仿宋_GB2312" w:eastAsia="仿宋_GB2312"/>
          <w:sz w:val="32"/>
          <w:szCs w:val="32"/>
        </w:rPr>
        <w:t>万元。与上</w:t>
      </w:r>
      <w:r>
        <w:rPr>
          <w:rFonts w:hint="eastAsia" w:ascii="仿宋_GB2312" w:hAnsi="仿宋_GB2312" w:eastAsia="仿宋_GB2312" w:cs="仿宋_GB2312"/>
          <w:sz w:val="32"/>
          <w:szCs w:val="32"/>
        </w:rPr>
        <w:t>年度相比，财政拨款收、支总计各减少</w:t>
      </w:r>
      <w:r>
        <w:rPr>
          <w:rFonts w:hint="eastAsia" w:ascii="仿宋_GB2312" w:hAnsi="仿宋_GB2312" w:eastAsia="仿宋_GB2312" w:cs="仿宋_GB2312"/>
          <w:sz w:val="32"/>
          <w:szCs w:val="32"/>
          <w:lang w:val="en-US" w:eastAsia="zh-CN"/>
        </w:rPr>
        <w:t>500.99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%。主要原因是</w:t>
      </w:r>
      <w:r>
        <w:rPr>
          <w:rFonts w:hint="eastAsia" w:ascii="仿宋_GB2312" w:eastAsia="仿宋_GB2312"/>
          <w:sz w:val="32"/>
          <w:szCs w:val="32"/>
          <w:lang w:val="en-US" w:eastAsia="zh-CN"/>
        </w:rPr>
        <w:t>2024年度项目资金减少</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5515.81</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%。与上年度相比，一般公共预算财政拨款支出增加</w:t>
      </w:r>
      <w:r>
        <w:rPr>
          <w:rFonts w:hint="eastAsia" w:ascii="仿宋_GB2312" w:hAnsi="仿宋_GB2312" w:eastAsia="仿宋_GB2312" w:cs="仿宋_GB2312"/>
          <w:sz w:val="32"/>
          <w:szCs w:val="32"/>
          <w:lang w:val="en-US" w:eastAsia="zh-CN"/>
        </w:rPr>
        <w:t>114.83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一是年初结转和结余增加；二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人员变动导致人员经费增加</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5515.81</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val="en-US" w:eastAsia="zh-CN"/>
        </w:rPr>
        <w:t>公共安全支出4466.93万元，占80.98%；</w:t>
      </w:r>
      <w:r>
        <w:rPr>
          <w:rFonts w:hint="eastAsia" w:ascii="仿宋_GB2312" w:hAnsi="仿宋_GB2312" w:eastAsia="仿宋_GB2312" w:cs="仿宋_GB2312"/>
          <w:sz w:val="32"/>
          <w:szCs w:val="32"/>
          <w:lang w:eastAsia="zh-CN"/>
        </w:rPr>
        <w:t>社会保障与就业支出</w:t>
      </w:r>
      <w:r>
        <w:rPr>
          <w:rFonts w:hint="eastAsia" w:ascii="仿宋_GB2312" w:hAnsi="仿宋_GB2312" w:eastAsia="仿宋_GB2312" w:cs="仿宋_GB2312"/>
          <w:sz w:val="32"/>
          <w:szCs w:val="32"/>
          <w:lang w:val="en-US" w:eastAsia="zh-CN"/>
        </w:rPr>
        <w:t>592.21万元，占10.74%；卫生健康支出160.42万元，占2.91%；</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296.25万元，占5.37%</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color w:val="auto"/>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color w:val="auto"/>
          <w:sz w:val="32"/>
          <w:szCs w:val="32"/>
          <w:lang w:val="en-US" w:eastAsia="zh-CN"/>
        </w:rPr>
        <w:t>5070.30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5515.81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108.79</w:t>
      </w:r>
      <w:r>
        <w:rPr>
          <w:rFonts w:hint="eastAsia" w:ascii="仿宋_GB2312" w:hAnsi="仿宋_GB2312" w:eastAsia="仿宋_GB2312" w:cs="仿宋_GB2312"/>
          <w:color w:val="auto"/>
          <w:sz w:val="32"/>
          <w:szCs w:val="32"/>
        </w:rPr>
        <w:t>%。其中：</w:t>
      </w:r>
    </w:p>
    <w:p>
      <w:pPr>
        <w:widowControl/>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法院</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行政运行</w:t>
      </w:r>
      <w:r>
        <w:rPr>
          <w:rFonts w:hint="eastAsia" w:ascii="仿宋_GB2312" w:hAnsi="仿宋_GB2312" w:eastAsia="仿宋_GB2312" w:cs="仿宋_GB2312"/>
          <w:color w:val="auto"/>
          <w:sz w:val="32"/>
          <w:szCs w:val="32"/>
        </w:rPr>
        <w:t>（项）。年初预算为</w:t>
      </w:r>
      <w:r>
        <w:rPr>
          <w:rFonts w:hint="eastAsia" w:ascii="仿宋_GB2312" w:hAnsi="仿宋_GB2312" w:eastAsia="仿宋_GB2312" w:cs="仿宋_GB2312"/>
          <w:color w:val="auto"/>
          <w:sz w:val="32"/>
          <w:szCs w:val="32"/>
          <w:lang w:val="en-US" w:eastAsia="zh-CN"/>
        </w:rPr>
        <w:t>3000.60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3304.34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110.12</w:t>
      </w:r>
      <w:r>
        <w:rPr>
          <w:rFonts w:hint="eastAsia" w:ascii="仿宋_GB2312" w:hAnsi="仿宋_GB2312" w:eastAsia="仿宋_GB2312" w:cs="仿宋_GB2312"/>
          <w:color w:val="auto"/>
          <w:sz w:val="32"/>
          <w:szCs w:val="32"/>
        </w:rPr>
        <w:t>%。决算数与年初预算数存在差异的主要原因是</w:t>
      </w:r>
      <w:r>
        <w:rPr>
          <w:rFonts w:hint="eastAsia" w:ascii="仿宋_GB2312" w:hAnsi="仿宋_GB2312" w:eastAsia="仿宋_GB2312" w:cs="仿宋_GB2312"/>
          <w:color w:val="auto"/>
          <w:sz w:val="32"/>
          <w:szCs w:val="32"/>
          <w:lang w:val="en-US" w:eastAsia="zh-CN"/>
        </w:rPr>
        <w:t>2024年人员增加及工资变动</w:t>
      </w:r>
      <w:r>
        <w:rPr>
          <w:rFonts w:hint="eastAsia" w:ascii="仿宋_GB2312" w:hAnsi="仿宋_GB2312" w:eastAsia="仿宋_GB2312" w:cs="仿宋_GB2312"/>
          <w:color w:val="auto"/>
          <w:sz w:val="32"/>
          <w:szCs w:val="32"/>
        </w:rPr>
        <w:t>。</w:t>
      </w:r>
    </w:p>
    <w:p>
      <w:pPr>
        <w:widowControl/>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法院</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一般行政管理事务</w:t>
      </w:r>
      <w:r>
        <w:rPr>
          <w:rFonts w:hint="eastAsia" w:ascii="仿宋_GB2312" w:hAnsi="仿宋_GB2312" w:eastAsia="仿宋_GB2312" w:cs="仿宋_GB2312"/>
          <w:color w:val="auto"/>
          <w:sz w:val="32"/>
          <w:szCs w:val="32"/>
        </w:rPr>
        <w:t>（项）。年初预算为</w:t>
      </w:r>
      <w:r>
        <w:rPr>
          <w:rFonts w:hint="eastAsia" w:ascii="仿宋_GB2312" w:hAnsi="仿宋_GB2312" w:eastAsia="仿宋_GB2312" w:cs="仿宋_GB2312"/>
          <w:color w:val="auto"/>
          <w:sz w:val="32"/>
          <w:szCs w:val="32"/>
          <w:lang w:val="en-US" w:eastAsia="zh-CN"/>
        </w:rPr>
        <w:t>307.70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323.92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105.27</w:t>
      </w:r>
      <w:r>
        <w:rPr>
          <w:rFonts w:hint="eastAsia" w:ascii="仿宋_GB2312" w:hAnsi="仿宋_GB2312" w:eastAsia="仿宋_GB2312" w:cs="仿宋_GB2312"/>
          <w:color w:val="auto"/>
          <w:sz w:val="32"/>
          <w:szCs w:val="32"/>
        </w:rPr>
        <w:t>%。决算数与年初预算数存在差异的主要原因</w:t>
      </w:r>
      <w:r>
        <w:rPr>
          <w:rFonts w:hint="eastAsia" w:ascii="仿宋_GB2312" w:hAnsi="仿宋_GB2312" w:eastAsia="仿宋_GB2312" w:cs="仿宋_GB2312"/>
          <w:color w:val="auto"/>
          <w:sz w:val="32"/>
          <w:szCs w:val="32"/>
          <w:lang w:eastAsia="zh-CN"/>
        </w:rPr>
        <w:t>是使用</w:t>
      </w:r>
      <w:r>
        <w:rPr>
          <w:rFonts w:hint="eastAsia" w:ascii="仿宋_GB2312" w:hAnsi="仿宋_GB2312" w:eastAsia="仿宋_GB2312" w:cs="仿宋_GB2312"/>
          <w:color w:val="auto"/>
          <w:sz w:val="32"/>
          <w:szCs w:val="32"/>
          <w:lang w:val="en-US" w:eastAsia="zh-CN"/>
        </w:rPr>
        <w:t>2023年结转资金</w:t>
      </w:r>
      <w:r>
        <w:rPr>
          <w:rFonts w:hint="eastAsia" w:ascii="仿宋_GB2312" w:hAnsi="仿宋_GB2312" w:eastAsia="仿宋_GB2312" w:cs="仿宋_GB2312"/>
          <w:color w:val="auto"/>
          <w:sz w:val="32"/>
          <w:szCs w:val="32"/>
          <w:lang w:eastAsia="zh-CN"/>
        </w:rPr>
        <w:t>。</w:t>
      </w:r>
    </w:p>
    <w:p>
      <w:pPr>
        <w:widowControl/>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公共安全支出（类）法院（款）案件审判（项）。年初预算为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万元，支出决算为</w:t>
      </w:r>
      <w:r>
        <w:rPr>
          <w:rFonts w:hint="eastAsia" w:ascii="仿宋_GB2312" w:hAnsi="仿宋_GB2312" w:eastAsia="仿宋_GB2312" w:cs="仿宋_GB2312"/>
          <w:color w:val="auto"/>
          <w:sz w:val="32"/>
          <w:szCs w:val="32"/>
          <w:lang w:val="en-US" w:eastAsia="zh-CN"/>
        </w:rPr>
        <w:t>105.37</w:t>
      </w:r>
      <w:r>
        <w:rPr>
          <w:rFonts w:hint="eastAsia" w:ascii="仿宋_GB2312" w:hAnsi="仿宋_GB2312" w:eastAsia="仿宋_GB2312" w:cs="仿宋_GB2312"/>
          <w:color w:val="auto"/>
          <w:sz w:val="32"/>
          <w:szCs w:val="32"/>
          <w:lang w:eastAsia="zh-CN"/>
        </w:rPr>
        <w:t>万元。决算数与年初预算数存在差异的主要原因是</w:t>
      </w:r>
      <w:r>
        <w:rPr>
          <w:rFonts w:hint="eastAsia" w:ascii="仿宋_GB2312" w:hAnsi="仿宋_GB2312" w:eastAsia="仿宋_GB2312" w:cs="仿宋_GB2312"/>
          <w:color w:val="auto"/>
          <w:sz w:val="32"/>
          <w:szCs w:val="32"/>
          <w:lang w:val="en-US" w:eastAsia="zh-CN"/>
        </w:rPr>
        <w:t>该部分资金为2024年追加下达资金</w:t>
      </w:r>
      <w:r>
        <w:rPr>
          <w:rFonts w:hint="eastAsia" w:ascii="仿宋_GB2312" w:hAnsi="仿宋_GB2312" w:eastAsia="仿宋_GB2312" w:cs="仿宋_GB2312"/>
          <w:color w:val="auto"/>
          <w:sz w:val="32"/>
          <w:szCs w:val="32"/>
          <w:lang w:eastAsia="zh-CN"/>
        </w:rPr>
        <w:t>。</w:t>
      </w:r>
    </w:p>
    <w:p>
      <w:pPr>
        <w:widowControl/>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法院</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其他法院支出（项），年初预算为</w:t>
      </w:r>
      <w:r>
        <w:rPr>
          <w:rFonts w:hint="eastAsia" w:ascii="仿宋_GB2312" w:hAnsi="仿宋_GB2312" w:eastAsia="仿宋_GB2312" w:cs="仿宋_GB2312"/>
          <w:color w:val="auto"/>
          <w:sz w:val="32"/>
          <w:szCs w:val="32"/>
          <w:lang w:val="en-US" w:eastAsia="zh-CN"/>
        </w:rPr>
        <w:t>644.40万元，支出决算为733.30万元，</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113.80</w:t>
      </w:r>
      <w:r>
        <w:rPr>
          <w:rFonts w:hint="eastAsia" w:ascii="仿宋_GB2312" w:hAnsi="仿宋_GB2312" w:eastAsia="仿宋_GB2312" w:cs="仿宋_GB2312"/>
          <w:color w:val="auto"/>
          <w:sz w:val="32"/>
          <w:szCs w:val="32"/>
        </w:rPr>
        <w:t>%。决算数与年初预算数存在差异的主要原因</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lang w:val="en-US" w:eastAsia="zh-CN"/>
        </w:rPr>
        <w:t>2023年结转资金，二是2024年追加下达部分资金</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5.社会保障和就业支出（类）行政单位离退休（款）行政单位离退休（项）。年初预算为367.50万</w:t>
      </w:r>
      <w:r>
        <w:rPr>
          <w:rFonts w:hint="eastAsia" w:ascii="仿宋_GB2312" w:hAnsi="仿宋_GB2312" w:eastAsia="仿宋_GB2312" w:cs="仿宋_GB2312"/>
          <w:sz w:val="32"/>
          <w:szCs w:val="32"/>
          <w:lang w:val="en-US" w:eastAsia="zh-CN"/>
        </w:rPr>
        <w:t>元，支出决算为360.51万元，完成年初预算的98.10%。决算数与年初预算数存在差异的主要原因是2024年退休人员变动</w:t>
      </w:r>
      <w:r>
        <w:rPr>
          <w:rFonts w:hint="eastAsia" w:ascii="仿宋_GB2312" w:hAnsi="仿宋_GB2312" w:eastAsia="仿宋_GB2312" w:cs="仿宋_GB2312"/>
          <w:b/>
          <w:bCs/>
          <w:sz w:val="32"/>
          <w:szCs w:val="32"/>
          <w:lang w:val="en-US" w:eastAsia="zh-CN"/>
        </w:rPr>
        <w:t>。</w:t>
      </w:r>
    </w:p>
    <w:p>
      <w:pPr>
        <w:widowControl/>
        <w:spacing w:line="59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行政单位离退休（款）机关事业单位基本养老保险缴费支出（项）。年初预算为277.30万元，支出决算为231.71元，完成年初预算的83.56%。决算数与年初预算数存在差异的主要原因是2024年调整养老保险缴费基数。</w:t>
      </w:r>
    </w:p>
    <w:p>
      <w:pPr>
        <w:widowControl/>
        <w:spacing w:line="590" w:lineRule="exact"/>
        <w:ind w:firstLine="640" w:firstLineChars="200"/>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7.卫生健康支出（类）行政事业单位医疗（款）行政单位医疗（</w:t>
      </w:r>
      <w:r>
        <w:rPr>
          <w:rFonts w:hint="eastAsia" w:ascii="仿宋_GB2312" w:hAnsi="仿宋_GB2312" w:eastAsia="仿宋_GB2312" w:cs="仿宋_GB2312"/>
          <w:color w:val="auto"/>
          <w:sz w:val="32"/>
          <w:szCs w:val="32"/>
          <w:lang w:val="en-US" w:eastAsia="zh-CN"/>
        </w:rPr>
        <w:t>项）。年初预算为216.60万元，支出决算为160.42万元，完成年初预算的74.06%。决算数与年初预算数存在差异的主要原因是2024年调整医疗保险缴费基数。</w:t>
      </w:r>
    </w:p>
    <w:p>
      <w:pPr>
        <w:widowControl/>
        <w:spacing w:line="590" w:lineRule="exact"/>
        <w:ind w:firstLine="640" w:firstLineChars="200"/>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8.住房保障支出（类）住房改革支出（款）住房公积金（项）。年初预算为256.20万元，支出决算为296.25万元，完成年初预算的115.63%。决算数与年初预算数</w:t>
      </w:r>
      <w:r>
        <w:rPr>
          <w:rFonts w:hint="eastAsia" w:ascii="仿宋_GB2312" w:hAnsi="仿宋_GB2312" w:eastAsia="仿宋_GB2312" w:cs="仿宋_GB2312"/>
          <w:sz w:val="32"/>
          <w:szCs w:val="32"/>
          <w:lang w:val="en-US" w:eastAsia="zh-CN"/>
        </w:rPr>
        <w:t>存在差异的主要原因一是2024年调整住房公积金缴费基数，二是2024年人员变动，该项费用有所增加。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4012.67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3429.61</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其他对个人和家庭的补助支出；公用经费</w:t>
      </w:r>
      <w:r>
        <w:rPr>
          <w:rFonts w:hint="eastAsia" w:ascii="仿宋_GB2312" w:hAnsi="仿宋_GB2312" w:eastAsia="仿宋_GB2312" w:cs="仿宋_GB2312"/>
          <w:sz w:val="32"/>
          <w:szCs w:val="32"/>
          <w:lang w:val="en-US" w:eastAsia="zh-CN"/>
        </w:rPr>
        <w:t>583.06</w:t>
      </w:r>
      <w:r>
        <w:rPr>
          <w:rFonts w:hint="eastAsia" w:ascii="仿宋_GB2312" w:hAnsi="仿宋_GB2312" w:eastAsia="仿宋_GB2312" w:cs="仿宋_GB2312"/>
          <w:sz w:val="32"/>
          <w:szCs w:val="32"/>
        </w:rPr>
        <w:t>万元，主要包括：办公费、水费、电费、物业管理费、差旅费、因公出国（境）费用、维修（护）费、租赁费、公务接待费、劳务费、委托业务费、工会经费、福利费、公务用车运行维护费、其他交通费用、税金及附加费用、其他商品和服务支出、</w:t>
      </w:r>
      <w:r>
        <w:rPr>
          <w:rFonts w:hint="eastAsia" w:ascii="仿宋_GB2312" w:hAnsi="仿宋_GB2312" w:eastAsia="仿宋_GB2312" w:cs="仿宋_GB2312"/>
          <w:sz w:val="32"/>
          <w:szCs w:val="32"/>
          <w:lang w:eastAsia="zh-CN"/>
        </w:rPr>
        <w:t>公务用车购置、</w:t>
      </w:r>
      <w:r>
        <w:rPr>
          <w:rFonts w:hint="eastAsia" w:ascii="仿宋_GB2312" w:hAnsi="仿宋_GB2312" w:eastAsia="仿宋_GB2312" w:cs="仿宋_GB2312"/>
          <w:sz w:val="32"/>
          <w:szCs w:val="32"/>
        </w:rPr>
        <w:t>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pPr>
        <w:widowControl/>
        <w:spacing w:line="590" w:lineRule="exact"/>
        <w:ind w:firstLine="640" w:firstLineChars="200"/>
        <w:outlineLvl w:val="1"/>
        <w:rPr>
          <w:rFonts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我单位无此项支出。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pPr>
        <w:widowControl/>
        <w:spacing w:line="590" w:lineRule="exact"/>
        <w:ind w:firstLine="640" w:firstLineChars="200"/>
        <w:outlineLvl w:val="1"/>
        <w:rPr>
          <w:rFonts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我单位无此项支出。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九、一般公共预算财政拨款“三公”经费支出决算情况说明</w:t>
      </w:r>
    </w:p>
    <w:p>
      <w:pPr>
        <w:widowControl/>
        <w:spacing w:line="590" w:lineRule="exact"/>
        <w:ind w:firstLine="642"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（一）一般公共预算财政拨款“三公”经费支出决算总体情况说明。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年度一般公共预算财政拨款“三公”经费支出预算为</w:t>
      </w:r>
      <w:r>
        <w:rPr>
          <w:rFonts w:hint="eastAsia" w:ascii="仿宋_GB2312" w:hAnsi="仿宋_GB2312" w:eastAsia="仿宋_GB2312" w:cs="仿宋_GB2312"/>
          <w:color w:val="auto"/>
          <w:sz w:val="32"/>
          <w:szCs w:val="32"/>
          <w:lang w:val="en-US" w:eastAsia="zh-CN"/>
        </w:rPr>
        <w:t>101.00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94.71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93.77</w:t>
      </w:r>
      <w:r>
        <w:rPr>
          <w:rFonts w:hint="eastAsia" w:ascii="仿宋_GB2312" w:hAnsi="仿宋_GB2312" w:eastAsia="仿宋_GB2312" w:cs="仿宋_GB2312"/>
          <w:sz w:val="32"/>
          <w:szCs w:val="32"/>
        </w:rPr>
        <w:t>%。</w:t>
      </w:r>
      <w:r>
        <w:rPr>
          <w:rFonts w:ascii="仿宋_GB2312" w:eastAsia="仿宋_GB2312"/>
          <w:sz w:val="32"/>
          <w:szCs w:val="32"/>
        </w:rPr>
        <w:t>2024</w:t>
      </w:r>
      <w:r>
        <w:rPr>
          <w:rFonts w:hint="eastAsia" w:ascii="仿宋_GB2312" w:hAnsi="仿宋_GB2312" w:eastAsia="仿宋_GB2312" w:cs="仿宋_GB2312"/>
          <w:sz w:val="32"/>
          <w:szCs w:val="32"/>
        </w:rPr>
        <w:t>年度一般公共预算财政拨款“三公”经费支出决算数与预算数存在差异的主要原因是</w:t>
      </w:r>
      <w:r>
        <w:rPr>
          <w:rFonts w:hint="eastAsia" w:ascii="仿宋_GB2312" w:hAnsi="仿宋_GB2312" w:eastAsia="仿宋_GB2312" w:cs="仿宋_GB2312"/>
          <w:sz w:val="32"/>
          <w:szCs w:val="32"/>
          <w:lang w:eastAsia="zh-CN"/>
        </w:rPr>
        <w:t>认真</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贯彻落实中央八项规定精神</w:t>
      </w:r>
      <w:r>
        <w:rPr>
          <w:rFonts w:hint="eastAsia" w:ascii="仿宋_GB2312" w:hAnsi="仿宋_GB2312" w:eastAsia="仿宋_GB2312" w:cs="仿宋_GB2312"/>
          <w:sz w:val="32"/>
          <w:szCs w:val="32"/>
          <w:lang w:eastAsia="zh-CN"/>
        </w:rPr>
        <w:t>，坚持厉行节约，严格执行</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党政机关公务接待管理有关规定，进一步完善内部管理制度，</w:t>
      </w:r>
      <w:r>
        <w:rPr>
          <w:rFonts w:hint="eastAsia" w:ascii="仿宋_GB2312" w:hAnsi="仿宋_GB2312" w:eastAsia="仿宋_GB2312" w:cs="仿宋_GB2312"/>
          <w:sz w:val="32"/>
          <w:szCs w:val="32"/>
          <w:lang w:eastAsia="zh-CN"/>
        </w:rPr>
        <w:t>强化公务用车管理，</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控制“三公”经费支出</w:t>
      </w:r>
      <w:r>
        <w:rPr>
          <w:rFonts w:hint="eastAsia" w:ascii="仿宋_GB2312" w:hAnsi="仿宋_GB2312" w:eastAsia="仿宋_GB2312" w:cs="仿宋_GB2312"/>
          <w:sz w:val="32"/>
          <w:szCs w:val="32"/>
        </w:rPr>
        <w:t>。</w:t>
      </w:r>
    </w:p>
    <w:p>
      <w:pPr>
        <w:widowControl/>
        <w:spacing w:line="590" w:lineRule="exact"/>
        <w:ind w:firstLine="642"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（二）一般公共预算财政拨款“三公”经费支出决算具体情况说明。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年度一般公共预算财政拨款“三公”经费支出决算中，因公出国（境）费支出决算</w:t>
      </w:r>
      <w:r>
        <w:rPr>
          <w:rFonts w:hint="eastAsia" w:ascii="仿宋_GB2312" w:hAnsi="仿宋_GB2312" w:eastAsia="仿宋_GB2312" w:cs="仿宋_GB2312"/>
          <w:sz w:val="32"/>
          <w:szCs w:val="32"/>
          <w:lang w:val="en-US" w:eastAsia="zh-CN"/>
        </w:rPr>
        <w:t>8.77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97.44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%；公</w:t>
      </w:r>
      <w:r>
        <w:rPr>
          <w:rFonts w:hint="eastAsia" w:ascii="仿宋_GB2312" w:hAnsi="仿宋_GB2312" w:eastAsia="仿宋_GB2312" w:cs="仿宋_GB2312"/>
          <w:color w:val="auto"/>
          <w:sz w:val="32"/>
          <w:szCs w:val="32"/>
        </w:rPr>
        <w:t>务用车购置及运行费支出决算</w:t>
      </w:r>
      <w:r>
        <w:rPr>
          <w:rFonts w:hint="eastAsia" w:ascii="仿宋_GB2312" w:hAnsi="仿宋_GB2312" w:eastAsia="仿宋_GB2312" w:cs="仿宋_GB2312"/>
          <w:color w:val="auto"/>
          <w:sz w:val="32"/>
          <w:szCs w:val="32"/>
          <w:lang w:val="en-US" w:eastAsia="zh-CN"/>
        </w:rPr>
        <w:t>84.74</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94.16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89.47</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%。具体情况如下：</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8.77</w:t>
      </w:r>
      <w:r>
        <w:rPr>
          <w:rFonts w:hint="eastAsia" w:ascii="仿宋_GB2312" w:hAnsi="仿宋_GB2312" w:eastAsia="仿宋_GB2312" w:cs="仿宋_GB2312"/>
          <w:sz w:val="32"/>
          <w:szCs w:val="32"/>
        </w:rPr>
        <w:t>万元。决算数与预算数存在差异的主要原因是</w:t>
      </w:r>
      <w:r>
        <w:rPr>
          <w:rFonts w:hint="eastAsia" w:ascii="仿宋_GB2312" w:hAnsi="仿宋_GB2312" w:eastAsia="仿宋_GB2312" w:cs="仿宋_GB2312"/>
          <w:sz w:val="32"/>
          <w:szCs w:val="32"/>
          <w:lang w:val="en-US" w:eastAsia="zh-CN"/>
        </w:rPr>
        <w:t>预算年初预算是因公出国境费用尚未确定，费用存在些微差异</w:t>
      </w:r>
      <w:r>
        <w:rPr>
          <w:rFonts w:hint="eastAsia" w:ascii="仿宋_GB2312" w:hAnsi="仿宋_GB2312" w:eastAsia="仿宋_GB2312" w:cs="仿宋_GB2312"/>
          <w:sz w:val="32"/>
          <w:szCs w:val="32"/>
        </w:rPr>
        <w:t>。全年因公出国（境）团组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人次。开支内容包括：</w:t>
      </w:r>
      <w:r>
        <w:rPr>
          <w:rFonts w:hint="eastAsia" w:ascii="仿宋_GB2312" w:hAnsi="仿宋_GB2312" w:eastAsia="仿宋_GB2312" w:cs="仿宋_GB2312"/>
          <w:sz w:val="32"/>
          <w:szCs w:val="32"/>
          <w:lang w:val="en-US" w:eastAsia="zh-CN"/>
        </w:rPr>
        <w:t>国际旅费、国外城市间交通费、住宿费、伙食费、公杂费、其他费用等</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90.00万元，支出决算为84.74万元，完成预算的94.16%。决算数与预算数存在差异的主要原因是</w:t>
      </w:r>
      <w:r>
        <w:rPr>
          <w:rFonts w:hint="eastAsia" w:ascii="仿宋_GB2312" w:hAnsi="仿宋_GB2312" w:eastAsia="仿宋_GB2312" w:cs="仿宋_GB2312"/>
          <w:sz w:val="32"/>
          <w:szCs w:val="32"/>
          <w:lang w:eastAsia="zh-CN"/>
        </w:rPr>
        <w:t>认真</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贯彻落实中央八项规定精神</w:t>
      </w:r>
      <w:r>
        <w:rPr>
          <w:rFonts w:hint="eastAsia" w:ascii="仿宋_GB2312" w:hAnsi="仿宋_GB2312" w:eastAsia="仿宋_GB2312" w:cs="仿宋_GB2312"/>
          <w:sz w:val="32"/>
          <w:szCs w:val="32"/>
          <w:lang w:eastAsia="zh-CN"/>
        </w:rPr>
        <w:t>，坚持厉行节约，</w:t>
      </w:r>
      <w:r>
        <w:rPr>
          <w:rFonts w:hint="eastAsia" w:ascii="仿宋_GB2312" w:hAnsi="仿宋_GB2312" w:eastAsia="仿宋_GB2312" w:cs="仿宋_GB2312"/>
          <w:sz w:val="32"/>
          <w:szCs w:val="32"/>
          <w:lang w:val="en-US" w:eastAsia="zh-CN"/>
        </w:rPr>
        <w:t>购置车辆费用小于预算数。其中：</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42.63</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台，其中</w:t>
      </w:r>
      <w:r>
        <w:rPr>
          <w:rFonts w:hint="eastAsia" w:ascii="仿宋_GB2312" w:hAnsi="仿宋_GB2312" w:eastAsia="仿宋_GB2312" w:cs="仿宋_GB2312"/>
          <w:sz w:val="32"/>
          <w:szCs w:val="32"/>
          <w:lang w:eastAsia="zh-CN"/>
        </w:rPr>
        <w:t>机要通讯用车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42.11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燃油费、维修费、保险费、过桥过路费等支出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年期末</w:t>
      </w:r>
      <w:r>
        <w:rPr>
          <w:rFonts w:hint="eastAsia" w:ascii="仿宋_GB2312" w:hAnsi="仿宋_GB2312" w:eastAsia="仿宋_GB2312" w:cs="仿宋_GB2312"/>
          <w:color w:val="000000" w:themeColor="text1"/>
          <w:sz w:val="32"/>
          <w:szCs w:val="32"/>
          <w14:textFill>
            <w14:solidFill>
              <w14:schemeClr w14:val="tx1"/>
            </w14:solidFill>
          </w14:textFill>
        </w:rPr>
        <w:t>，单位开支财政拨款的公务用车保有量为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%。决算数与预算数存在差异的主要原因</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贯彻落实中央八项规定精神</w:t>
      </w:r>
      <w:r>
        <w:rPr>
          <w:rFonts w:hint="eastAsia" w:ascii="仿宋_GB2312" w:hAnsi="仿宋_GB2312" w:eastAsia="仿宋_GB2312" w:cs="仿宋_GB2312"/>
          <w:sz w:val="32"/>
          <w:szCs w:val="32"/>
          <w:lang w:eastAsia="zh-CN"/>
        </w:rPr>
        <w:t>，坚持厉行节约；二是严格执行</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党政机关公务接待管理有关规定，进一步完善内部管理制度，控制公务接待经费支出</w:t>
      </w:r>
      <w:r>
        <w:rPr>
          <w:rFonts w:hint="eastAsia" w:ascii="仿宋_GB2312" w:hAnsi="仿宋_GB2312" w:eastAsia="仿宋_GB2312" w:cs="仿宋_GB2312"/>
          <w:sz w:val="32"/>
          <w:szCs w:val="32"/>
        </w:rPr>
        <w:t>。其中：</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2024年无此类支出</w:t>
      </w:r>
      <w:r>
        <w:rPr>
          <w:rFonts w:hint="eastAsia" w:ascii="仿宋_GB2312" w:hAnsi="仿宋_GB2312" w:eastAsia="仿宋_GB2312" w:cs="仿宋_GB2312"/>
          <w:sz w:val="32"/>
          <w:szCs w:val="32"/>
        </w:rPr>
        <w:t>。</w:t>
      </w:r>
    </w:p>
    <w:p>
      <w:pPr>
        <w:widowControl/>
        <w:spacing w:line="590" w:lineRule="exact"/>
        <w:ind w:firstLine="642"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2024年无此类支出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eastAsia="仿宋_GB2312"/>
          <w:sz w:val="32"/>
          <w:szCs w:val="32"/>
        </w:rPr>
        <w:t>2024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583.06</w:t>
      </w:r>
      <w:r>
        <w:rPr>
          <w:rFonts w:hint="eastAsia" w:ascii="仿宋_GB2312" w:hAnsi="仿宋_GB2312" w:eastAsia="仿宋_GB2312" w:cs="仿宋_GB2312"/>
          <w:sz w:val="32"/>
          <w:szCs w:val="32"/>
        </w:rPr>
        <w:t>万元，比</w:t>
      </w:r>
      <w:r>
        <w:rPr>
          <w:rFonts w:hint="eastAsia" w:ascii="仿宋_GB2312" w:eastAsia="仿宋_GB2312"/>
          <w:sz w:val="32"/>
          <w:szCs w:val="32"/>
        </w:rPr>
        <w:t>2023</w:t>
      </w:r>
      <w:r>
        <w:rPr>
          <w:rFonts w:hint="eastAsia" w:ascii="仿宋_GB2312" w:hAnsi="仿宋_GB2312" w:eastAsia="仿宋_GB2312" w:cs="仿宋_GB2312"/>
          <w:sz w:val="32"/>
          <w:szCs w:val="32"/>
        </w:rPr>
        <w:t>年度减少</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0.45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lang w:val="en-US" w:eastAsia="zh-CN"/>
        </w:rPr>
        <w:t>《党政机关厉行节约反对浪费条例》的精神，</w:t>
      </w:r>
      <w:r>
        <w:rPr>
          <w:rFonts w:hint="eastAsia" w:ascii="仿宋_GB2312" w:hAnsi="仿宋_GB2312" w:eastAsia="仿宋_GB2312" w:cs="仿宋_GB2312"/>
          <w:sz w:val="32"/>
          <w:szCs w:val="32"/>
          <w:lang w:eastAsia="zh-CN"/>
        </w:rPr>
        <w:t>厉行节约，降低机关运行成本</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年度政府采购支出总额438.12万元，其中：政府采购货物支出162.46万元、政府采购工程支出200.76万元、政府采购服务支出74.90万元。授予中小企业合同金额438.12万元，占政府采购支出总额的100.00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,其中：授予小微企业合同金额438.12万元，占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2024年期末，我单位共有车辆</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一般公务用车</w:t>
      </w:r>
      <w:r>
        <w:rPr>
          <w:rFonts w:hint="eastAsia" w:ascii="仿宋_GB2312" w:hAnsi="仿宋_GB2312" w:eastAsia="仿宋_GB2312" w:cs="仿宋_GB2312"/>
          <w:sz w:val="32"/>
          <w:szCs w:val="32"/>
          <w:lang w:val="en-US" w:eastAsia="zh-CN"/>
        </w:rPr>
        <w:t>4辆，</w:t>
      </w:r>
      <w:r>
        <w:rPr>
          <w:rFonts w:hint="eastAsia" w:ascii="仿宋_GB2312" w:hAnsi="仿宋_GB2312" w:eastAsia="仿宋_GB2312" w:cs="仿宋_GB2312"/>
          <w:sz w:val="32"/>
          <w:szCs w:val="32"/>
        </w:rPr>
        <w:t>执法执勤用车</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w:t>
      </w:r>
      <w:r>
        <w:rPr>
          <w:rFonts w:hint="eastAsia" w:ascii="仿宋_GB2312" w:hAnsi="仿宋_GB2312" w:eastAsia="仿宋_GB2312" w:cs="仿宋_GB2312"/>
          <w:sz w:val="32"/>
          <w:szCs w:val="32"/>
        </w:rPr>
        <w:t>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辆；单位价值</w:t>
      </w:r>
      <w:bookmarkStart w:id="0" w:name="_GoBack"/>
      <w:bookmarkEnd w:id="0"/>
      <w:r>
        <w:rPr>
          <w:rFonts w:hint="eastAsia" w:ascii="仿宋_GB2312" w:hAnsi="仿宋_GB2312" w:eastAsia="仿宋_GB2312" w:cs="仿宋_GB2312"/>
          <w:sz w:val="32"/>
          <w:szCs w:val="32"/>
        </w:rPr>
        <w:t>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w:t>
      </w:r>
      <w:r>
        <w:rPr>
          <w:rFonts w:hint="eastAsia" w:ascii="黑体" w:hAnsi="黑体" w:eastAsia="黑体" w:cs="黑体"/>
          <w:sz w:val="32"/>
          <w:szCs w:val="32"/>
          <w:lang w:eastAsia="zh-CN"/>
        </w:rPr>
        <w:t>评价</w:t>
      </w:r>
      <w:r>
        <w:rPr>
          <w:rFonts w:hint="eastAsia" w:ascii="黑体" w:hAnsi="黑体" w:eastAsia="黑体" w:cs="黑体"/>
          <w:sz w:val="32"/>
          <w:szCs w:val="32"/>
        </w:rPr>
        <w:t>情况说明</w:t>
      </w:r>
    </w:p>
    <w:p>
      <w:pPr>
        <w:widowControl/>
        <w:spacing w:line="590" w:lineRule="exact"/>
        <w:ind w:firstLine="642" w:firstLineChars="200"/>
        <w:outlineLvl w:val="1"/>
        <w:rPr>
          <w:rFonts w:ascii="楷体_GB2312" w:hAnsi="楷体_GB2312" w:eastAsia="楷体_GB2312" w:cs="楷体_GB2312"/>
          <w:b/>
          <w:bCs/>
          <w:sz w:val="32"/>
          <w:szCs w:val="32"/>
        </w:rPr>
      </w:pPr>
      <w:r>
        <w:rPr>
          <w:rFonts w:ascii="楷体_GB2312" w:hAnsi="楷体_GB2312" w:eastAsia="楷体_GB2312" w:cs="楷体_GB2312"/>
          <w:b/>
          <w:bCs/>
          <w:sz w:val="32"/>
          <w:szCs w:val="32"/>
        </w:rPr>
        <w:t>（一）绩效评价工作开展情况</w:t>
      </w:r>
    </w:p>
    <w:p>
      <w:pPr>
        <w:widowControl/>
        <w:spacing w:line="59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为全面落实财政预算全面绩效管理的要求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我院对</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年度所有预算项目均设置绩效目标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从项目产出、项目效益、满意度等方面设置了绩效目标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综合反应了项目预期完成数量、</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效、质量、预期达到的社会经济效益、可持续影响以及服务对象满意度等情况。并在预算完成后对财政批复的所有项目进行绩效自评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在自评的基础上对部门整体绩效从工作任务完成情况、预算执行率、资金使用规范性等各个方面进行评价。部门绩效自评根据工作开展情况从产出指标、效益指标、满意度指标三个方面进行了绩效评价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总结工作经验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发现了实施管理中的问题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提高了资金使用效率。</w:t>
      </w:r>
    </w:p>
    <w:p>
      <w:pPr>
        <w:widowControl/>
        <w:spacing w:line="590" w:lineRule="exact"/>
        <w:ind w:firstLine="642"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（二）项目绩效自评结果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1.项目执行情况。202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年度漯河市中级人民法院部门整体全年预算数为</w:t>
      </w:r>
      <w:r>
        <w:rPr>
          <w:rFonts w:hint="eastAsia" w:ascii="仿宋_GB2312" w:hAnsi="仿宋" w:eastAsia="仿宋_GB2312"/>
          <w:color w:val="auto"/>
          <w:sz w:val="32"/>
          <w:szCs w:val="32"/>
          <w:lang w:val="en-US" w:eastAsia="zh-CN"/>
        </w:rPr>
        <w:t>1715.04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全年支出</w:t>
      </w:r>
      <w:r>
        <w:rPr>
          <w:rFonts w:hint="eastAsia" w:ascii="仿宋_GB2312" w:hAnsi="仿宋_GB2312" w:eastAsia="仿宋_GB2312" w:cs="仿宋_GB2312"/>
          <w:color w:val="auto"/>
          <w:sz w:val="32"/>
          <w:szCs w:val="32"/>
          <w:lang w:val="en-US" w:eastAsia="zh-CN"/>
        </w:rPr>
        <w:t>1503.14</w:t>
      </w:r>
      <w:r>
        <w:rPr>
          <w:rFonts w:hint="eastAsia" w:ascii="仿宋_GB2312" w:hAnsi="仿宋" w:eastAsia="仿宋_GB2312"/>
          <w:color w:val="auto"/>
          <w:sz w:val="32"/>
          <w:szCs w:val="32"/>
        </w:rPr>
        <w:t>万元，执行率</w:t>
      </w:r>
      <w:r>
        <w:rPr>
          <w:rFonts w:hint="eastAsia" w:ascii="仿宋_GB2312" w:hAnsi="仿宋_GB2312" w:eastAsia="仿宋_GB2312" w:cs="仿宋_GB2312"/>
          <w:color w:val="auto"/>
          <w:sz w:val="32"/>
          <w:szCs w:val="32"/>
          <w:lang w:val="en-US" w:eastAsia="zh-CN"/>
        </w:rPr>
        <w:t>87.64</w:t>
      </w:r>
      <w:r>
        <w:rPr>
          <w:rFonts w:hint="eastAsia" w:ascii="仿宋_GB2312" w:hAnsi="仿宋" w:eastAsia="仿宋_GB2312"/>
          <w:color w:val="auto"/>
          <w:sz w:val="32"/>
          <w:szCs w:val="32"/>
        </w:rPr>
        <w:t>%，完成了全年预算目标。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2.绩效评价结果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按照“谁用款，谁评价”原则，对我院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度聘用制书记员、办案业务经费、培训费、办案业务经费（专项）、业务装备购置经费、业务装备购置经费（专项）六</w:t>
      </w:r>
      <w:r>
        <w:rPr>
          <w:rFonts w:hint="eastAsia" w:ascii="仿宋_GB2312" w:hAnsi="仿宋_GB2312" w:eastAsia="仿宋_GB2312" w:cs="仿宋_GB2312"/>
          <w:sz w:val="32"/>
          <w:szCs w:val="32"/>
        </w:rPr>
        <w:t>个项目进行绩效自评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3.存在的问题</w:t>
      </w:r>
      <w:r>
        <w:rPr>
          <w:rFonts w:hint="eastAsia" w:ascii="仿宋_GB2312" w:hAnsi="仿宋" w:eastAsia="仿宋_GB2312"/>
          <w:color w:val="000000" w:themeColor="text1"/>
          <w:sz w:val="32"/>
          <w:szCs w:val="32"/>
          <w14:textFill>
            <w14:solidFill>
              <w14:schemeClr w14:val="tx1"/>
            </w14:solidFill>
          </w14:textFill>
        </w:rPr>
        <w:t>。一是项目支出运行实践经验和相关人员配备还显不足</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二是缺乏对项目资金是否按计划使用的跟踪</w:t>
      </w:r>
      <w:r>
        <w:rPr>
          <w:rFonts w:hint="eastAsia" w:ascii="仿宋_GB2312" w:hAnsi="仿宋" w:eastAsia="仿宋_GB2312"/>
          <w:color w:val="000000" w:themeColor="text1"/>
          <w:sz w:val="32"/>
          <w:szCs w:val="32"/>
          <w:lang w:eastAsia="zh-CN"/>
          <w14:textFill>
            <w14:solidFill>
              <w14:schemeClr w14:val="tx1"/>
            </w14:solidFill>
          </w14:textFill>
        </w:rPr>
        <w:t>，部分项目在预算执行过程中存在变动，决算与预算存在偏差</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sz w:val="30"/>
          <w:szCs w:val="30"/>
          <w:lang w:eastAsia="zh-CN"/>
        </w:rPr>
      </w:pPr>
      <w:r>
        <w:rPr>
          <w:rFonts w:hint="eastAsia" w:ascii="仿宋_GB2312" w:hAnsi="仿宋" w:eastAsia="仿宋_GB2312"/>
          <w:sz w:val="32"/>
          <w:szCs w:val="32"/>
        </w:rPr>
        <w:t>4.改进措施</w:t>
      </w:r>
      <w:r>
        <w:rPr>
          <w:rFonts w:hint="eastAsia" w:ascii="仿宋_GB2312" w:hAnsi="仿宋" w:eastAsia="仿宋_GB2312"/>
          <w:sz w:val="32"/>
          <w:szCs w:val="32"/>
          <w:lang w:eastAsia="zh-CN"/>
        </w:rPr>
        <w:t>。</w:t>
      </w:r>
      <w:r>
        <w:rPr>
          <w:rFonts w:hint="eastAsia" w:ascii="仿宋_GB2312" w:eastAsia="仿宋_GB2312"/>
          <w:b w:val="0"/>
          <w:bCs/>
          <w:sz w:val="30"/>
          <w:szCs w:val="30"/>
          <w:lang w:eastAsia="zh-CN"/>
        </w:rPr>
        <w:t>一是</w:t>
      </w:r>
      <w:r>
        <w:rPr>
          <w:rFonts w:hint="eastAsia" w:ascii="仿宋_GB2312" w:eastAsia="仿宋_GB2312"/>
          <w:b w:val="0"/>
          <w:bCs/>
          <w:sz w:val="30"/>
          <w:szCs w:val="30"/>
        </w:rPr>
        <w:t>加强预算管理，确保项目的科学性</w:t>
      </w:r>
      <w:r>
        <w:rPr>
          <w:rFonts w:hint="eastAsia" w:ascii="仿宋_GB2312" w:eastAsia="仿宋_GB2312"/>
          <w:b w:val="0"/>
          <w:bCs/>
          <w:sz w:val="30"/>
          <w:szCs w:val="30"/>
          <w:lang w:eastAsia="zh-CN"/>
        </w:rPr>
        <w:t>。</w:t>
      </w:r>
      <w:r>
        <w:rPr>
          <w:rFonts w:hint="eastAsia" w:ascii="仿宋_GB2312" w:eastAsia="仿宋_GB2312"/>
          <w:b w:val="0"/>
          <w:bCs/>
          <w:sz w:val="30"/>
          <w:szCs w:val="30"/>
        </w:rPr>
        <w:t>在编制年度预算时，在进行调查研究的基础上，充分论证项目立项的必要性、投入经济性、绩效目标合理性、实施方案可行性，确保项目具有可操作性，项目实施达到预期效果，发挥最大效益。</w:t>
      </w:r>
      <w:r>
        <w:rPr>
          <w:rFonts w:hint="eastAsia" w:ascii="仿宋_GB2312" w:eastAsia="仿宋_GB2312"/>
          <w:b w:val="0"/>
          <w:bCs/>
          <w:sz w:val="30"/>
          <w:szCs w:val="30"/>
          <w:lang w:eastAsia="zh-CN"/>
        </w:rPr>
        <w:t>完善预算管理与预算执行，</w:t>
      </w:r>
      <w:r>
        <w:rPr>
          <w:rFonts w:hint="eastAsia" w:ascii="仿宋_GB2312" w:eastAsia="仿宋_GB2312"/>
          <w:b w:val="0"/>
          <w:bCs/>
          <w:sz w:val="30"/>
          <w:szCs w:val="30"/>
        </w:rPr>
        <w:t>提高单位项目支出资金使用、项目实施精细化管理水平。</w:t>
      </w:r>
      <w:r>
        <w:rPr>
          <w:rFonts w:hint="eastAsia" w:ascii="仿宋_GB2312" w:eastAsia="仿宋_GB2312"/>
          <w:b w:val="0"/>
          <w:bCs/>
          <w:sz w:val="30"/>
          <w:szCs w:val="30"/>
          <w:lang w:eastAsia="zh-CN"/>
        </w:rPr>
        <w:t>二是</w:t>
      </w:r>
      <w:r>
        <w:rPr>
          <w:rFonts w:hint="eastAsia" w:ascii="仿宋_GB2312" w:eastAsia="仿宋_GB2312"/>
          <w:b w:val="0"/>
          <w:bCs/>
          <w:sz w:val="30"/>
          <w:szCs w:val="30"/>
        </w:rPr>
        <w:t>细化项目管理，确保项目按期实施。项目一经批复，各实施部门要认真细化方案，明确责任人，确定项目实施期间</w:t>
      </w:r>
      <w:r>
        <w:rPr>
          <w:rFonts w:hint="eastAsia" w:ascii="仿宋_GB2312" w:eastAsia="仿宋_GB2312"/>
          <w:b w:val="0"/>
          <w:bCs/>
          <w:sz w:val="30"/>
          <w:szCs w:val="30"/>
          <w:lang w:eastAsia="zh-CN"/>
        </w:rPr>
        <w:t>，</w:t>
      </w:r>
      <w:r>
        <w:rPr>
          <w:rFonts w:hint="eastAsia" w:ascii="仿宋_GB2312" w:eastAsia="仿宋_GB2312"/>
          <w:b w:val="0"/>
          <w:bCs/>
          <w:sz w:val="30"/>
          <w:szCs w:val="30"/>
        </w:rPr>
        <w:t>做好各项目支出绩效目标执行中的控制管理，</w:t>
      </w:r>
      <w:r>
        <w:rPr>
          <w:rFonts w:hint="eastAsia" w:ascii="仿宋_GB2312" w:eastAsia="仿宋_GB2312"/>
          <w:b w:val="0"/>
          <w:bCs/>
          <w:sz w:val="30"/>
          <w:szCs w:val="30"/>
          <w:lang w:eastAsia="zh-CN"/>
        </w:rPr>
        <w:t>定期不定期地对项目实施情况和经费使用情况进行跟踪检查，</w:t>
      </w:r>
      <w:r>
        <w:rPr>
          <w:rFonts w:hint="eastAsia" w:ascii="仿宋_GB2312" w:eastAsia="仿宋_GB2312"/>
          <w:b w:val="0"/>
          <w:bCs/>
          <w:sz w:val="30"/>
          <w:szCs w:val="30"/>
        </w:rPr>
        <w:t>建好控制台账，及时按程序进行必要的调整和变更，确保资金对应绩效目标执行，确保项目按计划推进。</w:t>
      </w:r>
      <w:r>
        <w:rPr>
          <w:rFonts w:hint="eastAsia" w:ascii="仿宋_GB2312" w:eastAsia="仿宋_GB2312"/>
          <w:b w:val="0"/>
          <w:bCs/>
          <w:sz w:val="30"/>
          <w:szCs w:val="30"/>
          <w:lang w:eastAsia="zh-CN"/>
        </w:rPr>
        <w:t>三是</w:t>
      </w:r>
      <w:r>
        <w:rPr>
          <w:rFonts w:hint="eastAsia" w:ascii="仿宋_GB2312" w:eastAsia="仿宋_GB2312"/>
          <w:b w:val="0"/>
          <w:bCs/>
          <w:sz w:val="30"/>
          <w:szCs w:val="30"/>
        </w:rPr>
        <w:t>严格人员管理，提高绩效目标管理水平。加强</w:t>
      </w:r>
      <w:r>
        <w:rPr>
          <w:rFonts w:hint="eastAsia" w:ascii="仿宋_GB2312" w:eastAsia="仿宋_GB2312"/>
          <w:b w:val="0"/>
          <w:bCs/>
          <w:sz w:val="30"/>
          <w:szCs w:val="30"/>
          <w:lang w:eastAsia="zh-CN"/>
        </w:rPr>
        <w:t>对</w:t>
      </w:r>
      <w:r>
        <w:rPr>
          <w:rFonts w:hint="eastAsia" w:ascii="仿宋_GB2312" w:eastAsia="仿宋_GB2312"/>
          <w:b w:val="0"/>
          <w:bCs/>
          <w:sz w:val="30"/>
          <w:szCs w:val="30"/>
        </w:rPr>
        <w:t>财务人员</w:t>
      </w:r>
      <w:r>
        <w:rPr>
          <w:rFonts w:hint="eastAsia" w:ascii="仿宋_GB2312" w:eastAsia="仿宋_GB2312"/>
          <w:b w:val="0"/>
          <w:bCs/>
          <w:sz w:val="30"/>
          <w:szCs w:val="30"/>
          <w:lang w:eastAsia="zh-CN"/>
        </w:rPr>
        <w:t>的指导与</w:t>
      </w:r>
      <w:r>
        <w:rPr>
          <w:rFonts w:hint="eastAsia" w:ascii="仿宋_GB2312" w:eastAsia="仿宋_GB2312"/>
          <w:b w:val="0"/>
          <w:bCs/>
          <w:sz w:val="30"/>
          <w:szCs w:val="30"/>
        </w:rPr>
        <w:t>培训，</w:t>
      </w:r>
      <w:r>
        <w:rPr>
          <w:rFonts w:hint="eastAsia" w:ascii="仿宋_GB2312" w:eastAsia="仿宋_GB2312"/>
          <w:b w:val="0"/>
          <w:bCs/>
          <w:sz w:val="30"/>
          <w:szCs w:val="30"/>
          <w:lang w:eastAsia="zh-CN"/>
        </w:rPr>
        <w:t>确保财务人员能够</w:t>
      </w:r>
      <w:r>
        <w:rPr>
          <w:rFonts w:hint="eastAsia" w:ascii="仿宋_GB2312" w:eastAsia="仿宋_GB2312"/>
          <w:b w:val="0"/>
          <w:bCs/>
          <w:sz w:val="30"/>
          <w:szCs w:val="30"/>
        </w:rPr>
        <w:t>熟练掌握预算编制和预算执行等各项政策，提高</w:t>
      </w:r>
      <w:r>
        <w:rPr>
          <w:rFonts w:hint="eastAsia" w:ascii="仿宋_GB2312" w:eastAsia="仿宋_GB2312"/>
          <w:b w:val="0"/>
          <w:bCs/>
          <w:sz w:val="30"/>
          <w:szCs w:val="30"/>
          <w:lang w:eastAsia="zh-CN"/>
        </w:rPr>
        <w:t>绩效管理</w:t>
      </w:r>
      <w:r>
        <w:rPr>
          <w:rFonts w:hint="eastAsia" w:ascii="仿宋_GB2312" w:eastAsia="仿宋_GB2312"/>
          <w:b w:val="0"/>
          <w:bCs/>
          <w:sz w:val="30"/>
          <w:szCs w:val="30"/>
        </w:rPr>
        <w:t>能力</w:t>
      </w:r>
      <w:r>
        <w:rPr>
          <w:rFonts w:hint="eastAsia" w:ascii="仿宋_GB2312" w:eastAsia="仿宋_GB2312"/>
          <w:b w:val="0"/>
          <w:bCs/>
          <w:sz w:val="30"/>
          <w:szCs w:val="30"/>
          <w:lang w:eastAsia="zh-CN"/>
        </w:rPr>
        <w:t>，</w:t>
      </w:r>
      <w:r>
        <w:rPr>
          <w:rFonts w:hint="eastAsia" w:ascii="仿宋_GB2312" w:eastAsia="仿宋_GB2312"/>
          <w:b w:val="0"/>
          <w:bCs/>
          <w:sz w:val="30"/>
          <w:szCs w:val="30"/>
        </w:rPr>
        <w:t>提高绩效目标管理水平</w:t>
      </w:r>
      <w:r>
        <w:rPr>
          <w:rFonts w:hint="eastAsia" w:ascii="仿宋_GB2312" w:eastAsia="仿宋_GB2312"/>
          <w:b w:val="0"/>
          <w:bCs/>
          <w:sz w:val="30"/>
          <w:szCs w:val="30"/>
          <w:lang w:eastAsia="zh-CN"/>
        </w:rPr>
        <w:t>。</w:t>
      </w:r>
    </w:p>
    <w:p>
      <w:pPr>
        <w:ind w:firstLine="640"/>
        <w:rPr>
          <w:rFonts w:ascii="仿宋_GB2312" w:hAnsi="仿宋_GB2312" w:eastAsia="仿宋_GB2312" w:cs="仿宋_GB2312"/>
          <w:sz w:val="32"/>
          <w:szCs w:val="32"/>
        </w:rPr>
      </w:pP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七、使用非财政拨款结余（含专用结余）：指事业单位使用以前年度积累的非财政拨款结余弥补当年收支差额的金额。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一般公共预算财政拨款“三公”经费：纳入同级财政一般公共预算管理“三公”经费，指单位使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公务用车燃料费、新能源汽车</w:t>
      </w:r>
      <w:r>
        <w:rPr>
          <w:rFonts w:ascii="仿宋_GB2312" w:hAnsi="仿宋_GB2312" w:eastAsia="仿宋_GB2312" w:cs="仿宋_GB2312"/>
          <w:sz w:val="32"/>
          <w:szCs w:val="32"/>
        </w:rPr>
        <w:t>充电</w:t>
      </w:r>
      <w:r>
        <w:rPr>
          <w:rFonts w:hint="eastAsia" w:ascii="仿宋_GB2312" w:hAnsi="仿宋_GB2312" w:eastAsia="仿宋_GB2312" w:cs="仿宋_GB2312"/>
          <w:sz w:val="32"/>
          <w:szCs w:val="32"/>
        </w:rPr>
        <w:t>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费、办公用房水电费、办公用房取暖费、办公用房物业管理费、公务用车运行维护费以及其他费用。</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wHWr6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73c3JAQAAmQMAAA4AAABkcnMv&#10;ZTJvRG9jLnhtbK1TzY7TMBC+I/EOlu/U2SJBFT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DXlDhuceDnnz/Ov/6cf38nb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AHvdzc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E8"/>
    <w:rsid w:val="0001341A"/>
    <w:rsid w:val="00013459"/>
    <w:rsid w:val="00014590"/>
    <w:rsid w:val="000270E8"/>
    <w:rsid w:val="000335B5"/>
    <w:rsid w:val="00041339"/>
    <w:rsid w:val="00050C58"/>
    <w:rsid w:val="000536D4"/>
    <w:rsid w:val="00057AFD"/>
    <w:rsid w:val="00073A5C"/>
    <w:rsid w:val="00073C86"/>
    <w:rsid w:val="000760A2"/>
    <w:rsid w:val="00076410"/>
    <w:rsid w:val="00081835"/>
    <w:rsid w:val="000904B3"/>
    <w:rsid w:val="000B679A"/>
    <w:rsid w:val="000C073B"/>
    <w:rsid w:val="000C1142"/>
    <w:rsid w:val="000F6973"/>
    <w:rsid w:val="001003F8"/>
    <w:rsid w:val="001127FF"/>
    <w:rsid w:val="001153DF"/>
    <w:rsid w:val="00144159"/>
    <w:rsid w:val="00153782"/>
    <w:rsid w:val="001718A8"/>
    <w:rsid w:val="00176DF6"/>
    <w:rsid w:val="00182842"/>
    <w:rsid w:val="00184D53"/>
    <w:rsid w:val="001905F2"/>
    <w:rsid w:val="00197592"/>
    <w:rsid w:val="001B59CD"/>
    <w:rsid w:val="001C32F0"/>
    <w:rsid w:val="001D16C4"/>
    <w:rsid w:val="001D61B1"/>
    <w:rsid w:val="001F5040"/>
    <w:rsid w:val="002006EB"/>
    <w:rsid w:val="00213D0B"/>
    <w:rsid w:val="00214AE1"/>
    <w:rsid w:val="00260D70"/>
    <w:rsid w:val="00266402"/>
    <w:rsid w:val="00281114"/>
    <w:rsid w:val="00282C7F"/>
    <w:rsid w:val="00287811"/>
    <w:rsid w:val="00292B4B"/>
    <w:rsid w:val="002A6352"/>
    <w:rsid w:val="002B3F94"/>
    <w:rsid w:val="002C171D"/>
    <w:rsid w:val="002E4E64"/>
    <w:rsid w:val="002E6A86"/>
    <w:rsid w:val="00304D04"/>
    <w:rsid w:val="00305B88"/>
    <w:rsid w:val="00315FEB"/>
    <w:rsid w:val="00317A3F"/>
    <w:rsid w:val="00345CF4"/>
    <w:rsid w:val="00367B30"/>
    <w:rsid w:val="003D4727"/>
    <w:rsid w:val="004006EF"/>
    <w:rsid w:val="00406392"/>
    <w:rsid w:val="0041489C"/>
    <w:rsid w:val="00416AB3"/>
    <w:rsid w:val="004207C5"/>
    <w:rsid w:val="0042585F"/>
    <w:rsid w:val="00426114"/>
    <w:rsid w:val="004336AC"/>
    <w:rsid w:val="00445CAC"/>
    <w:rsid w:val="00472E19"/>
    <w:rsid w:val="004824E1"/>
    <w:rsid w:val="00485F13"/>
    <w:rsid w:val="00487869"/>
    <w:rsid w:val="004D5275"/>
    <w:rsid w:val="004D557F"/>
    <w:rsid w:val="004F63DB"/>
    <w:rsid w:val="00505190"/>
    <w:rsid w:val="00507364"/>
    <w:rsid w:val="00537B15"/>
    <w:rsid w:val="00546F7C"/>
    <w:rsid w:val="005602DF"/>
    <w:rsid w:val="00594166"/>
    <w:rsid w:val="005A0C2F"/>
    <w:rsid w:val="005B1AE2"/>
    <w:rsid w:val="005E23D5"/>
    <w:rsid w:val="005E3397"/>
    <w:rsid w:val="005E4B20"/>
    <w:rsid w:val="005E53E0"/>
    <w:rsid w:val="0060785B"/>
    <w:rsid w:val="00607D67"/>
    <w:rsid w:val="006228C4"/>
    <w:rsid w:val="00636C37"/>
    <w:rsid w:val="006512DD"/>
    <w:rsid w:val="00656BEF"/>
    <w:rsid w:val="00656D75"/>
    <w:rsid w:val="00657E86"/>
    <w:rsid w:val="00673EF7"/>
    <w:rsid w:val="00674086"/>
    <w:rsid w:val="006841E9"/>
    <w:rsid w:val="0069449E"/>
    <w:rsid w:val="006B3267"/>
    <w:rsid w:val="006C07F0"/>
    <w:rsid w:val="006C644A"/>
    <w:rsid w:val="006C7D84"/>
    <w:rsid w:val="006D16E0"/>
    <w:rsid w:val="006E018F"/>
    <w:rsid w:val="00713188"/>
    <w:rsid w:val="007148E8"/>
    <w:rsid w:val="007221CC"/>
    <w:rsid w:val="00733DAA"/>
    <w:rsid w:val="00742BA0"/>
    <w:rsid w:val="00753545"/>
    <w:rsid w:val="00764156"/>
    <w:rsid w:val="007706D7"/>
    <w:rsid w:val="007879ED"/>
    <w:rsid w:val="007A48A3"/>
    <w:rsid w:val="007C029F"/>
    <w:rsid w:val="007C15D8"/>
    <w:rsid w:val="007C7F49"/>
    <w:rsid w:val="007D2A21"/>
    <w:rsid w:val="007E57FB"/>
    <w:rsid w:val="0080055F"/>
    <w:rsid w:val="00835830"/>
    <w:rsid w:val="00843461"/>
    <w:rsid w:val="008651E7"/>
    <w:rsid w:val="00872946"/>
    <w:rsid w:val="0088023A"/>
    <w:rsid w:val="008858FB"/>
    <w:rsid w:val="00894B41"/>
    <w:rsid w:val="008B5427"/>
    <w:rsid w:val="008C79C3"/>
    <w:rsid w:val="008C7CD0"/>
    <w:rsid w:val="008E5DBC"/>
    <w:rsid w:val="00903F6B"/>
    <w:rsid w:val="00916F14"/>
    <w:rsid w:val="009173F9"/>
    <w:rsid w:val="009308CB"/>
    <w:rsid w:val="00950270"/>
    <w:rsid w:val="00955EB5"/>
    <w:rsid w:val="00962F58"/>
    <w:rsid w:val="00967786"/>
    <w:rsid w:val="00972F3F"/>
    <w:rsid w:val="00975A04"/>
    <w:rsid w:val="00981BF0"/>
    <w:rsid w:val="009850F4"/>
    <w:rsid w:val="00987E71"/>
    <w:rsid w:val="0099009D"/>
    <w:rsid w:val="009D32E4"/>
    <w:rsid w:val="009F0FBB"/>
    <w:rsid w:val="009F546E"/>
    <w:rsid w:val="00A079F0"/>
    <w:rsid w:val="00A21DB3"/>
    <w:rsid w:val="00A315F1"/>
    <w:rsid w:val="00A42F43"/>
    <w:rsid w:val="00A47596"/>
    <w:rsid w:val="00A51982"/>
    <w:rsid w:val="00A576F2"/>
    <w:rsid w:val="00A57BF7"/>
    <w:rsid w:val="00A60EC5"/>
    <w:rsid w:val="00A71DC1"/>
    <w:rsid w:val="00A738D8"/>
    <w:rsid w:val="00A83D8A"/>
    <w:rsid w:val="00A93E7D"/>
    <w:rsid w:val="00AA260E"/>
    <w:rsid w:val="00AA3C42"/>
    <w:rsid w:val="00AA44CB"/>
    <w:rsid w:val="00AA67CD"/>
    <w:rsid w:val="00AD6761"/>
    <w:rsid w:val="00AD7AB4"/>
    <w:rsid w:val="00AE0AC9"/>
    <w:rsid w:val="00AE2FEA"/>
    <w:rsid w:val="00AE600E"/>
    <w:rsid w:val="00B0083B"/>
    <w:rsid w:val="00B040BC"/>
    <w:rsid w:val="00B209B8"/>
    <w:rsid w:val="00B20BBC"/>
    <w:rsid w:val="00B249F3"/>
    <w:rsid w:val="00B25074"/>
    <w:rsid w:val="00B649BE"/>
    <w:rsid w:val="00B653A5"/>
    <w:rsid w:val="00B65A14"/>
    <w:rsid w:val="00B710DD"/>
    <w:rsid w:val="00B8061A"/>
    <w:rsid w:val="00BC3DE9"/>
    <w:rsid w:val="00BE5A85"/>
    <w:rsid w:val="00BF2649"/>
    <w:rsid w:val="00BF4E6A"/>
    <w:rsid w:val="00BF5718"/>
    <w:rsid w:val="00C07681"/>
    <w:rsid w:val="00C13474"/>
    <w:rsid w:val="00C3106E"/>
    <w:rsid w:val="00C44D5E"/>
    <w:rsid w:val="00C53EB7"/>
    <w:rsid w:val="00C60609"/>
    <w:rsid w:val="00C67AF9"/>
    <w:rsid w:val="00C95CC1"/>
    <w:rsid w:val="00CA3F44"/>
    <w:rsid w:val="00CB03ED"/>
    <w:rsid w:val="00CB72D1"/>
    <w:rsid w:val="00CE212D"/>
    <w:rsid w:val="00CE4B38"/>
    <w:rsid w:val="00CF5A6C"/>
    <w:rsid w:val="00D013CB"/>
    <w:rsid w:val="00D1321A"/>
    <w:rsid w:val="00D23FC6"/>
    <w:rsid w:val="00D30ADF"/>
    <w:rsid w:val="00D33CF8"/>
    <w:rsid w:val="00D40900"/>
    <w:rsid w:val="00D6315E"/>
    <w:rsid w:val="00D635ED"/>
    <w:rsid w:val="00D652C2"/>
    <w:rsid w:val="00D74EE2"/>
    <w:rsid w:val="00D83E19"/>
    <w:rsid w:val="00D86CAD"/>
    <w:rsid w:val="00DA00C9"/>
    <w:rsid w:val="00DB200E"/>
    <w:rsid w:val="00DB65F5"/>
    <w:rsid w:val="00DC2A9E"/>
    <w:rsid w:val="00DC4EAC"/>
    <w:rsid w:val="00DF11E3"/>
    <w:rsid w:val="00E01C3E"/>
    <w:rsid w:val="00E11655"/>
    <w:rsid w:val="00E13099"/>
    <w:rsid w:val="00E24808"/>
    <w:rsid w:val="00E4339F"/>
    <w:rsid w:val="00E537F9"/>
    <w:rsid w:val="00E60B05"/>
    <w:rsid w:val="00E629EA"/>
    <w:rsid w:val="00E6777C"/>
    <w:rsid w:val="00E87A51"/>
    <w:rsid w:val="00E90003"/>
    <w:rsid w:val="00E91765"/>
    <w:rsid w:val="00EB05A3"/>
    <w:rsid w:val="00EB485B"/>
    <w:rsid w:val="00EC53C2"/>
    <w:rsid w:val="00ED38B7"/>
    <w:rsid w:val="00EE051D"/>
    <w:rsid w:val="00EE1891"/>
    <w:rsid w:val="00F0082A"/>
    <w:rsid w:val="00F0131A"/>
    <w:rsid w:val="00F14C17"/>
    <w:rsid w:val="00F17041"/>
    <w:rsid w:val="00F218CF"/>
    <w:rsid w:val="00F44937"/>
    <w:rsid w:val="00F51D42"/>
    <w:rsid w:val="00F61A47"/>
    <w:rsid w:val="00F84422"/>
    <w:rsid w:val="00F935F1"/>
    <w:rsid w:val="00F95455"/>
    <w:rsid w:val="00FA574D"/>
    <w:rsid w:val="00FB0DA0"/>
    <w:rsid w:val="00FC2588"/>
    <w:rsid w:val="00FE7AD9"/>
    <w:rsid w:val="01322275"/>
    <w:rsid w:val="01DC6F05"/>
    <w:rsid w:val="02A3489A"/>
    <w:rsid w:val="02CA138D"/>
    <w:rsid w:val="033646FC"/>
    <w:rsid w:val="03C75F80"/>
    <w:rsid w:val="0478364D"/>
    <w:rsid w:val="053D4C0D"/>
    <w:rsid w:val="0557532E"/>
    <w:rsid w:val="0799329C"/>
    <w:rsid w:val="086F16A7"/>
    <w:rsid w:val="09BE2921"/>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3F37389"/>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7CF372C"/>
    <w:rsid w:val="37D330E3"/>
    <w:rsid w:val="395D59E7"/>
    <w:rsid w:val="39A93932"/>
    <w:rsid w:val="3A915562"/>
    <w:rsid w:val="3B8D4765"/>
    <w:rsid w:val="3BFF0D1E"/>
    <w:rsid w:val="3C000DBA"/>
    <w:rsid w:val="3DC045D3"/>
    <w:rsid w:val="3E504FFB"/>
    <w:rsid w:val="3E615CD0"/>
    <w:rsid w:val="3E9C47F6"/>
    <w:rsid w:val="3F7FB277"/>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6E12E7"/>
    <w:rsid w:val="6F8B71C1"/>
    <w:rsid w:val="6FBB869A"/>
    <w:rsid w:val="70753482"/>
    <w:rsid w:val="707B522A"/>
    <w:rsid w:val="73194D05"/>
    <w:rsid w:val="73A83B0E"/>
    <w:rsid w:val="744D3EF9"/>
    <w:rsid w:val="74794411"/>
    <w:rsid w:val="75867C40"/>
    <w:rsid w:val="75B10B26"/>
    <w:rsid w:val="76432199"/>
    <w:rsid w:val="76F44829"/>
    <w:rsid w:val="77A267C0"/>
    <w:rsid w:val="77BF20D1"/>
    <w:rsid w:val="78772C60"/>
    <w:rsid w:val="78882278"/>
    <w:rsid w:val="789D938F"/>
    <w:rsid w:val="78B118A6"/>
    <w:rsid w:val="79135044"/>
    <w:rsid w:val="7A7D0F99"/>
    <w:rsid w:val="7E17025D"/>
    <w:rsid w:val="7E4A0E7C"/>
    <w:rsid w:val="7EFD449D"/>
    <w:rsid w:val="7F72A1E7"/>
    <w:rsid w:val="ABFB1FBB"/>
    <w:rsid w:val="B6EE142D"/>
    <w:rsid w:val="BFCF1BCB"/>
    <w:rsid w:val="C5142E83"/>
    <w:rsid w:val="C967761C"/>
    <w:rsid w:val="DFFFCCF8"/>
    <w:rsid w:val="E4FE04F7"/>
    <w:rsid w:val="F1AD8B3D"/>
    <w:rsid w:val="F5FF3A95"/>
    <w:rsid w:val="F63D976B"/>
    <w:rsid w:val="FBD9A1C5"/>
    <w:rsid w:val="FDFF6C19"/>
    <w:rsid w:val="FFAFBD7F"/>
    <w:rsid w:val="FFFEA4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single"/>
    </w:rPr>
  </w:style>
  <w:style w:type="character" w:customStyle="1" w:styleId="10">
    <w:name w:val="页脚 Char"/>
    <w:link w:val="3"/>
    <w:qFormat/>
    <w:uiPriority w:val="99"/>
    <w:rPr>
      <w:kern w:val="2"/>
      <w:sz w:val="18"/>
      <w:szCs w:val="18"/>
    </w:rPr>
  </w:style>
  <w:style w:type="character" w:customStyle="1" w:styleId="11">
    <w:name w:val="font51"/>
    <w:qFormat/>
    <w:uiPriority w:val="0"/>
    <w:rPr>
      <w:rFonts w:hint="eastAsia" w:ascii="宋体" w:hAnsi="宋体" w:eastAsia="宋体" w:cs="宋体"/>
      <w:color w:val="000000"/>
      <w:sz w:val="24"/>
      <w:szCs w:val="24"/>
      <w:u w:val="none"/>
    </w:r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批注框文本 Char"/>
    <w:link w:val="2"/>
    <w:semiHidden/>
    <w:qFormat/>
    <w:uiPriority w:val="99"/>
    <w:rPr>
      <w:kern w:val="2"/>
      <w:sz w:val="18"/>
      <w:szCs w:val="18"/>
    </w:rPr>
  </w:style>
  <w:style w:type="character" w:customStyle="1" w:styleId="14">
    <w:name w:val="font41"/>
    <w:qFormat/>
    <w:uiPriority w:val="0"/>
    <w:rPr>
      <w:rFonts w:hint="eastAsia" w:ascii="宋体" w:hAnsi="宋体" w:eastAsia="宋体" w:cs="宋体"/>
      <w:color w:val="000000"/>
      <w:sz w:val="24"/>
      <w:szCs w:val="24"/>
      <w:u w:val="none"/>
    </w:rPr>
  </w:style>
  <w:style w:type="character" w:customStyle="1" w:styleId="15">
    <w:name w:val="页眉 Char"/>
    <w:link w:val="4"/>
    <w:qFormat/>
    <w:uiPriority w:val="99"/>
    <w:rPr>
      <w:kern w:val="2"/>
      <w:sz w:val="18"/>
      <w:szCs w:val="18"/>
    </w:rPr>
  </w:style>
  <w:style w:type="character" w:customStyle="1" w:styleId="16">
    <w:name w:val="font21"/>
    <w:qFormat/>
    <w:uiPriority w:val="0"/>
    <w:rPr>
      <w:rFonts w:hint="eastAsia" w:ascii="宋体" w:hAnsi="宋体" w:eastAsia="宋体" w:cs="宋体"/>
      <w:color w:val="000000"/>
      <w:sz w:val="22"/>
      <w:szCs w:val="22"/>
      <w:u w:val="none"/>
    </w:rPr>
  </w:style>
  <w:style w:type="character" w:customStyle="1" w:styleId="17">
    <w:name w:val="font11"/>
    <w:qFormat/>
    <w:uiPriority w:val="0"/>
    <w:rPr>
      <w:rFonts w:hint="eastAsia" w:ascii="宋体" w:hAnsi="宋体" w:eastAsia="宋体" w:cs="宋体"/>
      <w:color w:val="000000"/>
      <w:sz w:val="20"/>
      <w:szCs w:val="20"/>
      <w:u w:val="none"/>
    </w:rPr>
  </w:style>
  <w:style w:type="table" w:customStyle="1" w:styleId="18">
    <w:name w:val="普通表格1"/>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30</Pages>
  <Words>1480</Words>
  <Characters>8442</Characters>
  <Lines>70</Lines>
  <Paragraphs>19</Paragraphs>
  <TotalTime>31</TotalTime>
  <ScaleCrop>false</ScaleCrop>
  <LinksUpToDate>false</LinksUpToDate>
  <CharactersWithSpaces>9903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2007-12-01T19:41:00Z</dcterms:created>
  <dc:creator>管理者</dc:creator>
  <cp:lastModifiedBy>潘媛</cp:lastModifiedBy>
  <cp:lastPrinted>2025-08-20T07:36:00Z</cp:lastPrinted>
  <dcterms:modified xsi:type="dcterms:W3CDTF">2025-08-20T09:24:13Z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