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hint="eastAsia" w:ascii="黑体" w:hAnsi="黑体" w:eastAsia="黑体"/>
          <w:kern w:val="0"/>
          <w:sz w:val="28"/>
          <w:szCs w:val="28"/>
        </w:rPr>
      </w:pPr>
      <w:r>
        <w:rPr>
          <w:rFonts w:hint="eastAsia" w:ascii="黑体" w:hAnsi="黑体" w:eastAsia="黑体"/>
          <w:kern w:val="0"/>
          <w:sz w:val="28"/>
          <w:szCs w:val="28"/>
        </w:rPr>
        <w:t>附件2</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河南省漯河市中级人民法院</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2"/>
          <w:szCs w:val="32"/>
        </w:rPr>
      </w:pPr>
      <w:r>
        <w:rPr>
          <w:rFonts w:hint="eastAsia" w:ascii="黑体" w:hAnsi="黑体" w:eastAsia="黑体" w:cs="黑体"/>
          <w:sz w:val="32"/>
          <w:szCs w:val="32"/>
        </w:rPr>
        <w:t>二〇二四年八月</w:t>
      </w:r>
    </w:p>
    <w:p>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河南省漯河市中级人民法院概况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第一部分  </w:t>
      </w: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lang w:eastAsia="zh-CN"/>
        </w:rPr>
        <w:t>河南省漯河市中级人民法院</w:t>
      </w:r>
      <w:r>
        <w:rPr>
          <w:rFonts w:hint="eastAsia" w:ascii="黑体" w:hAnsi="黑体" w:eastAsia="黑体" w:cs="黑体"/>
          <w:sz w:val="48"/>
          <w:szCs w:val="48"/>
        </w:rPr>
        <w:t>概况</w:t>
      </w:r>
    </w:p>
    <w:p>
      <w:pPr>
        <w:widowControl/>
        <w:ind w:firstLine="640" w:firstLineChars="200"/>
        <w:jc w:val="left"/>
        <w:outlineLvl w:val="9"/>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eepNext w:val="0"/>
        <w:keepLines w:val="0"/>
        <w:pageBreakBefore w:val="0"/>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（一）依法审判法律规定由漯河市中级人民法院管辖的和其认为应当由法院审判的刑事、民事、行政等第一审案件。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（二）依法审判法律规定由漯河市中级人民法院管辖的刑事、民事、行政等第二审案件。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（三）依法</w:t>
      </w:r>
      <w:r>
        <w:rPr>
          <w:rFonts w:hint="eastAsia" w:ascii="仿宋_GB2312" w:eastAsia="仿宋_GB2312" w:cs="宋体"/>
          <w:b w:val="0"/>
          <w:bCs w:val="0"/>
          <w:kern w:val="0"/>
          <w:sz w:val="32"/>
          <w:szCs w:val="32"/>
          <w:lang w:eastAsia="zh-CN" w:bidi="ar-SA"/>
        </w:rPr>
        <w:t>审</w:t>
      </w:r>
      <w:r>
        <w:rPr>
          <w:rFonts w:hint="eastAsia" w:ascii="仿宋_GB2312" w:eastAsia="仿宋_GB2312" w:cs="宋体"/>
          <w:b w:val="0"/>
          <w:bCs w:val="0"/>
          <w:kern w:val="0"/>
          <w:sz w:val="32"/>
          <w:szCs w:val="32"/>
          <w:lang w:bidi="ar-SA"/>
        </w:rPr>
        <w:t>理</w:t>
      </w:r>
      <w:r>
        <w:rPr>
          <w:rFonts w:hint="eastAsia" w:ascii="仿宋_GB2312" w:eastAsia="仿宋_GB2312" w:cs="宋体"/>
          <w:b w:val="0"/>
          <w:bCs w:val="0"/>
          <w:kern w:val="0"/>
          <w:sz w:val="32"/>
          <w:szCs w:val="32"/>
          <w:lang w:eastAsia="zh-CN" w:bidi="ar-SA"/>
        </w:rPr>
        <w:t>应</w:t>
      </w:r>
      <w:r>
        <w:rPr>
          <w:rFonts w:hint="eastAsia" w:ascii="仿宋_GB2312" w:eastAsia="仿宋_GB2312" w:cs="宋体"/>
          <w:b w:val="0"/>
          <w:bCs w:val="0"/>
          <w:kern w:val="0"/>
          <w:sz w:val="32"/>
          <w:szCs w:val="32"/>
          <w:lang w:bidi="ar-SA"/>
        </w:rPr>
        <w:t>由漯河市中级人民法院管辖的减刑、假释案件。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（四）受理不服全市两级法院裁判生效的各类申诉和申请再审案件。对其中确有错误的，属本院裁判生效的，决定再审；属下级法院裁判生效的，决定提审或指令下级人民法院再审。</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（五）依法受理由漯河市人民检察院按照审判监督程序提出的抗诉案件。</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（六）依法对下级人民法院行使案件指定管辖权。</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（七）监督下级人民法院的审判工作。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（八）依法行使司法执行权和司法决定权。</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（九）依法决定国家赔偿。</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（十）对法律、法规、规章等草案提出意见；针对案件审理中发现的突出问题提出司法建议。</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（十一）对市</w:t>
      </w:r>
      <w:r>
        <w:rPr>
          <w:rFonts w:hint="eastAsia" w:ascii="仿宋_GB2312" w:eastAsia="仿宋_GB2312" w:cs="宋体"/>
          <w:b w:val="0"/>
          <w:bCs w:val="0"/>
          <w:kern w:val="0"/>
          <w:sz w:val="32"/>
          <w:szCs w:val="32"/>
          <w:lang w:eastAsia="zh-CN" w:bidi="ar-SA"/>
        </w:rPr>
        <w:t>中级人民</w:t>
      </w:r>
      <w:r>
        <w:rPr>
          <w:rFonts w:hint="eastAsia" w:ascii="仿宋_GB2312" w:eastAsia="仿宋_GB2312" w:cs="宋体"/>
          <w:b w:val="0"/>
          <w:bCs w:val="0"/>
          <w:kern w:val="0"/>
          <w:sz w:val="32"/>
          <w:szCs w:val="32"/>
          <w:lang w:bidi="ar-SA"/>
        </w:rPr>
        <w:t>法院的法官和其他工作人员组织专业培训；指导下级人民法院的思想政治工作和教育培训工作；按照权限管理法官和其他工作人员；协助主管部门管理下级人民法院的机构编制工作；领导直属事业单位的工作。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（十二）主管全市法院的监察工作。</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（十三）在审判工作中宣传法制，教育公民自觉遵守宪法和法律。</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（十四）管理全市法院系统的有关经费和物资装备；</w:t>
      </w:r>
      <w:r>
        <w:rPr>
          <w:rFonts w:hint="eastAsia" w:ascii="仿宋_GB2312" w:eastAsia="仿宋_GB2312" w:cs="宋体"/>
          <w:b w:val="0"/>
          <w:bCs w:val="0"/>
          <w:kern w:val="0"/>
          <w:sz w:val="32"/>
          <w:szCs w:val="32"/>
          <w:lang w:eastAsia="zh-CN" w:bidi="ar-SA"/>
        </w:rPr>
        <w:t>负责本级法院、指导基层法院信息化建设；</w:t>
      </w:r>
      <w:r>
        <w:rPr>
          <w:rFonts w:hint="eastAsia" w:ascii="仿宋_GB2312" w:eastAsia="仿宋_GB2312" w:cs="宋体"/>
          <w:b w:val="0"/>
          <w:bCs w:val="0"/>
          <w:kern w:val="0"/>
          <w:sz w:val="32"/>
          <w:szCs w:val="32"/>
          <w:lang w:bidi="ar-SA"/>
        </w:rPr>
        <w:t>指导基层人民法庭建设。</w:t>
      </w:r>
    </w:p>
    <w:p>
      <w:pPr>
        <w:keepNext w:val="0"/>
        <w:keepLines w:val="0"/>
        <w:pageBreakBefore w:val="0"/>
        <w:widowControl/>
        <w:shd w:val="clear" w:color="auto" w:fill="FFFFFF"/>
        <w:wordWrap/>
        <w:topLinePunct w:val="0"/>
        <w:bidi w:val="0"/>
        <w:spacing w:line="560" w:lineRule="exact"/>
        <w:ind w:firstLine="640" w:firstLineChars="200"/>
        <w:jc w:val="left"/>
        <w:textAlignment w:val="auto"/>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（十五）</w:t>
      </w:r>
      <w:r>
        <w:rPr>
          <w:rFonts w:hint="eastAsia" w:ascii="仿宋_GB2312" w:eastAsia="仿宋_GB2312" w:cs="宋体"/>
          <w:b w:val="0"/>
          <w:bCs w:val="0"/>
          <w:kern w:val="0"/>
          <w:sz w:val="32"/>
          <w:szCs w:val="32"/>
          <w:lang w:eastAsia="zh-CN" w:bidi="ar-SA"/>
        </w:rPr>
        <w:t>负责全市法院司法警察工作</w:t>
      </w:r>
      <w:r>
        <w:rPr>
          <w:rFonts w:hint="eastAsia" w:ascii="仿宋_GB2312" w:eastAsia="仿宋_GB2312" w:cs="宋体"/>
          <w:b w:val="0"/>
          <w:bCs w:val="0"/>
          <w:kern w:val="0"/>
          <w:sz w:val="32"/>
          <w:szCs w:val="32"/>
          <w:lang w:bidi="ar-SA"/>
        </w:rPr>
        <w:t>。</w:t>
      </w:r>
    </w:p>
    <w:p>
      <w:pPr>
        <w:widowControl/>
        <w:ind w:firstLine="640" w:firstLineChars="200"/>
        <w:jc w:val="left"/>
        <w:outlineLvl w:val="1"/>
        <w:rPr>
          <w:rFonts w:hint="eastAsia" w:ascii="仿宋_GB2312" w:eastAsia="仿宋_GB2312" w:cs="宋体"/>
          <w:b w:val="0"/>
          <w:bCs w:val="0"/>
          <w:kern w:val="0"/>
          <w:sz w:val="32"/>
          <w:szCs w:val="32"/>
          <w:lang w:bidi="ar-SA"/>
        </w:rPr>
      </w:pPr>
      <w:r>
        <w:rPr>
          <w:rFonts w:hint="eastAsia" w:ascii="仿宋_GB2312" w:eastAsia="仿宋_GB2312" w:cs="宋体"/>
          <w:b w:val="0"/>
          <w:bCs w:val="0"/>
          <w:kern w:val="0"/>
          <w:sz w:val="32"/>
          <w:szCs w:val="32"/>
          <w:lang w:bidi="ar-SA"/>
        </w:rPr>
        <w:t>（十六）完成应由漯河市中级人民法院负责的其他工作。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eastAsia="仿宋_GB2312" w:cs="仿宋_GB2312"/>
          <w:spacing w:val="-1"/>
          <w:kern w:val="0"/>
          <w:sz w:val="32"/>
          <w:szCs w:val="32"/>
          <w:lang w:bidi="ar-SA"/>
        </w:rPr>
      </w:pPr>
      <w:r>
        <w:rPr>
          <w:rFonts w:hint="eastAsia" w:ascii="仿宋_GB2312" w:eastAsia="仿宋_GB2312" w:cs="宋体"/>
          <w:b w:val="0"/>
          <w:bCs w:val="0"/>
          <w:kern w:val="0"/>
          <w:sz w:val="32"/>
          <w:szCs w:val="32"/>
          <w:lang w:eastAsia="zh-CN" w:bidi="ar-SA"/>
        </w:rPr>
        <w:t>河南省</w:t>
      </w:r>
      <w:r>
        <w:rPr>
          <w:rFonts w:hint="eastAsia" w:ascii="仿宋_GB2312" w:eastAsia="仿宋_GB2312" w:cs="宋体"/>
          <w:b w:val="0"/>
          <w:bCs w:val="0"/>
          <w:kern w:val="0"/>
          <w:sz w:val="32"/>
          <w:szCs w:val="32"/>
          <w:lang w:bidi="ar-SA"/>
        </w:rPr>
        <w:t>漯河市中级人民法院</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个，包括：</w:t>
      </w:r>
      <w:r>
        <w:rPr>
          <w:rFonts w:hint="eastAsia" w:ascii="仿宋_GB2312" w:hAnsi="仿宋_GB2312" w:eastAsia="仿宋_GB2312"/>
          <w:sz w:val="32"/>
          <w:szCs w:val="32"/>
        </w:rPr>
        <w:t>办公室、政治部（内设组织人事处、宣传教育处</w:t>
      </w:r>
      <w:r>
        <w:rPr>
          <w:rFonts w:hint="eastAsia" w:ascii="仿宋_GB2312" w:hAnsi="仿宋_GB2312" w:eastAsia="仿宋_GB2312"/>
          <w:sz w:val="32"/>
          <w:szCs w:val="32"/>
          <w:lang w:eastAsia="zh-CN"/>
        </w:rPr>
        <w:t>、</w:t>
      </w:r>
      <w:r>
        <w:rPr>
          <w:rFonts w:hint="eastAsia" w:ascii="仿宋_GB2312" w:hAnsi="仿宋_GB2312" w:eastAsia="仿宋_GB2312" w:cs="仿宋_GB2312"/>
          <w:kern w:val="0"/>
          <w:sz w:val="32"/>
          <w:szCs w:val="32"/>
        </w:rPr>
        <w:t>退休老干部处</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立案一庭、立案二庭、</w:t>
      </w:r>
      <w:r>
        <w:rPr>
          <w:rFonts w:hint="eastAsia" w:ascii="仿宋_GB2312" w:hAnsi="仿宋_GB2312" w:eastAsia="仿宋_GB2312"/>
          <w:sz w:val="32"/>
          <w:szCs w:val="32"/>
          <w:lang w:eastAsia="zh-CN"/>
        </w:rPr>
        <w:t>刑事审判第</w:t>
      </w:r>
      <w:r>
        <w:rPr>
          <w:rFonts w:hint="eastAsia" w:ascii="仿宋_GB2312" w:hAnsi="仿宋_GB2312" w:eastAsia="仿宋_GB2312"/>
          <w:sz w:val="32"/>
          <w:szCs w:val="32"/>
        </w:rPr>
        <w:t>一庭、刑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二庭</w:t>
      </w:r>
      <w:r>
        <w:rPr>
          <w:rFonts w:hint="eastAsia" w:ascii="仿宋_GB2312" w:hAnsi="仿宋_GB2312" w:eastAsia="仿宋_GB2312"/>
          <w:sz w:val="32"/>
          <w:szCs w:val="32"/>
          <w:lang w:eastAsia="zh-CN"/>
        </w:rPr>
        <w:t>（少年刑事审判庭）</w:t>
      </w:r>
      <w:r>
        <w:rPr>
          <w:rFonts w:hint="eastAsia" w:ascii="仿宋_GB2312" w:hAnsi="仿宋_GB2312" w:eastAsia="仿宋_GB2312"/>
          <w:sz w:val="32"/>
          <w:szCs w:val="32"/>
        </w:rPr>
        <w:t>、刑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三庭、民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一庭 、民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二庭</w:t>
      </w:r>
      <w:r>
        <w:rPr>
          <w:rFonts w:hint="eastAsia" w:ascii="仿宋_GB2312" w:hAnsi="仿宋_GB2312" w:eastAsia="仿宋_GB2312"/>
          <w:sz w:val="32"/>
          <w:szCs w:val="32"/>
          <w:lang w:eastAsia="zh-CN"/>
        </w:rPr>
        <w:t>（知识产权审判庭）</w:t>
      </w:r>
      <w:r>
        <w:rPr>
          <w:rFonts w:hint="eastAsia" w:ascii="仿宋_GB2312" w:hAnsi="仿宋_GB2312" w:eastAsia="仿宋_GB2312"/>
          <w:sz w:val="32"/>
          <w:szCs w:val="32"/>
        </w:rPr>
        <w:t>、民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三庭、民</w:t>
      </w:r>
      <w:r>
        <w:rPr>
          <w:rFonts w:hint="eastAsia" w:ascii="仿宋_GB2312" w:hAnsi="仿宋_GB2312" w:eastAsia="仿宋_GB2312"/>
          <w:sz w:val="32"/>
          <w:szCs w:val="32"/>
          <w:lang w:eastAsia="zh-CN"/>
        </w:rPr>
        <w:t>事审判第</w:t>
      </w:r>
      <w:r>
        <w:rPr>
          <w:rFonts w:hint="eastAsia" w:ascii="仿宋_GB2312" w:hAnsi="仿宋_GB2312" w:eastAsia="仿宋_GB2312"/>
          <w:sz w:val="32"/>
          <w:szCs w:val="32"/>
        </w:rPr>
        <w:t>四庭、行政</w:t>
      </w:r>
      <w:r>
        <w:rPr>
          <w:rFonts w:hint="eastAsia" w:ascii="仿宋_GB2312" w:hAnsi="仿宋_GB2312" w:eastAsia="仿宋_GB2312"/>
          <w:sz w:val="32"/>
          <w:szCs w:val="32"/>
          <w:lang w:eastAsia="zh-CN"/>
        </w:rPr>
        <w:t>审判</w:t>
      </w:r>
      <w:r>
        <w:rPr>
          <w:rFonts w:hint="eastAsia" w:ascii="仿宋_GB2312" w:hAnsi="仿宋_GB2312" w:eastAsia="仿宋_GB2312"/>
          <w:sz w:val="32"/>
          <w:szCs w:val="32"/>
        </w:rPr>
        <w:t>庭</w:t>
      </w:r>
      <w:r>
        <w:rPr>
          <w:rFonts w:hint="eastAsia" w:ascii="仿宋_GB2312" w:hAnsi="仿宋_GB2312" w:eastAsia="仿宋_GB2312"/>
          <w:sz w:val="32"/>
          <w:szCs w:val="32"/>
          <w:lang w:eastAsia="zh-CN"/>
        </w:rPr>
        <w:t>（赔偿委员会办公室）</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审判监督庭、</w:t>
      </w:r>
      <w:r>
        <w:rPr>
          <w:rFonts w:hint="eastAsia" w:ascii="仿宋_GB2312" w:hAnsi="仿宋_GB2312" w:eastAsia="仿宋_GB2312"/>
          <w:sz w:val="32"/>
          <w:szCs w:val="32"/>
        </w:rPr>
        <w:t>执行局（内设执行一庭、执行二庭、综合处）、</w:t>
      </w:r>
      <w:r>
        <w:rPr>
          <w:rFonts w:hint="eastAsia" w:ascii="仿宋_GB2312" w:hAnsi="仿宋_GB2312" w:eastAsia="仿宋_GB2312"/>
          <w:sz w:val="32"/>
          <w:szCs w:val="32"/>
          <w:lang w:eastAsia="zh-CN"/>
        </w:rPr>
        <w:t>研究室、审判管理办公室、</w:t>
      </w:r>
      <w:r>
        <w:rPr>
          <w:rFonts w:hint="eastAsia" w:ascii="仿宋_GB2312" w:hAnsi="仿宋_GB2312" w:eastAsia="仿宋_GB2312"/>
          <w:sz w:val="32"/>
          <w:szCs w:val="32"/>
        </w:rPr>
        <w:t>法警支队、</w:t>
      </w:r>
      <w:r>
        <w:rPr>
          <w:rFonts w:hint="eastAsia" w:ascii="仿宋_GB2312" w:hAnsi="仿宋_GB2312" w:eastAsia="仿宋_GB2312"/>
          <w:sz w:val="32"/>
          <w:szCs w:val="32"/>
          <w:lang w:eastAsia="zh-CN"/>
        </w:rPr>
        <w:t>司法</w:t>
      </w:r>
      <w:r>
        <w:rPr>
          <w:rFonts w:hint="eastAsia" w:ascii="仿宋_GB2312" w:hAnsi="仿宋_GB2312" w:eastAsia="仿宋_GB2312"/>
          <w:sz w:val="32"/>
          <w:szCs w:val="32"/>
        </w:rPr>
        <w:t>技术</w:t>
      </w:r>
      <w:r>
        <w:rPr>
          <w:rFonts w:hint="eastAsia" w:ascii="仿宋_GB2312" w:hAnsi="仿宋_GB2312" w:eastAsia="仿宋_GB2312"/>
          <w:sz w:val="32"/>
          <w:szCs w:val="32"/>
          <w:lang w:eastAsia="zh-CN"/>
        </w:rPr>
        <w:t>鉴定</w:t>
      </w:r>
      <w:r>
        <w:rPr>
          <w:rFonts w:hint="eastAsia" w:ascii="仿宋_GB2312" w:hAnsi="仿宋_GB2312" w:eastAsia="仿宋_GB2312"/>
          <w:sz w:val="32"/>
          <w:szCs w:val="32"/>
        </w:rPr>
        <w:t>处、</w:t>
      </w:r>
      <w:r>
        <w:rPr>
          <w:rFonts w:hint="eastAsia" w:ascii="仿宋_GB2312" w:hAnsi="仿宋_GB2312" w:eastAsia="仿宋_GB2312"/>
          <w:sz w:val="32"/>
          <w:szCs w:val="32"/>
          <w:lang w:eastAsia="zh-CN"/>
        </w:rPr>
        <w:t>司法行装装备管理处等</w:t>
      </w:r>
      <w:r>
        <w:rPr>
          <w:rFonts w:hint="eastAsia" w:ascii="仿宋_GB2312" w:hAnsi="仿宋_GB2312" w:eastAsia="仿宋_GB2312"/>
          <w:sz w:val="32"/>
          <w:szCs w:val="32"/>
          <w:lang w:val="en-US" w:eastAsia="zh-CN"/>
        </w:rPr>
        <w:t>部门，另有</w:t>
      </w:r>
      <w:r>
        <w:rPr>
          <w:rFonts w:hint="eastAsia" w:ascii="仿宋_GB2312" w:hAnsi="仿宋_GB2312" w:eastAsia="仿宋_GB2312" w:cs="仿宋_GB2312"/>
          <w:kern w:val="0"/>
          <w:sz w:val="32"/>
          <w:szCs w:val="32"/>
        </w:rPr>
        <w:t>机关党委</w:t>
      </w:r>
      <w:r>
        <w:rPr>
          <w:rFonts w:hint="eastAsia" w:ascii="仿宋_GB2312" w:hAnsi="仿宋_GB2312" w:eastAsia="仿宋_GB2312" w:cs="仿宋_GB2312"/>
          <w:kern w:val="0"/>
          <w:sz w:val="32"/>
          <w:szCs w:val="32"/>
          <w:lang w:eastAsia="zh-CN"/>
        </w:rPr>
        <w:t>和工会</w:t>
      </w:r>
      <w:r>
        <w:rPr>
          <w:rFonts w:hint="eastAsia" w:ascii="仿宋_GB2312" w:eastAsia="仿宋_GB2312" w:cs="仿宋_GB2312"/>
          <w:spacing w:val="-1"/>
          <w:kern w:val="0"/>
          <w:sz w:val="32"/>
          <w:szCs w:val="32"/>
          <w:lang w:bidi="ar-SA"/>
        </w:rPr>
        <w:t>等机构。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eastAsia="仿宋_GB2312" w:cs="宋体"/>
          <w:b w:val="0"/>
          <w:bCs w:val="0"/>
          <w:kern w:val="0"/>
          <w:sz w:val="32"/>
          <w:szCs w:val="32"/>
          <w:lang w:eastAsia="zh-CN" w:bidi="ar-SA"/>
        </w:rPr>
        <w:t>河南省</w:t>
      </w:r>
      <w:r>
        <w:rPr>
          <w:rFonts w:hint="eastAsia" w:ascii="仿宋_GB2312" w:eastAsia="仿宋_GB2312" w:cs="宋体"/>
          <w:b w:val="0"/>
          <w:bCs w:val="0"/>
          <w:kern w:val="0"/>
          <w:sz w:val="32"/>
          <w:szCs w:val="32"/>
          <w:lang w:bidi="ar-SA"/>
        </w:rPr>
        <w:t>漯河市中级人民法院</w:t>
      </w:r>
      <w:r>
        <w:rPr>
          <w:rFonts w:hint="eastAsia" w:ascii="仿宋_GB2312" w:hAnsi="仿宋_GB2312" w:eastAsia="仿宋_GB2312" w:cs="仿宋_GB2312"/>
          <w:kern w:val="0"/>
          <w:sz w:val="32"/>
          <w:szCs w:val="32"/>
        </w:rPr>
        <w:t>部门决算包括：本级决算、所属事业单位决算。另外，由</w:t>
      </w:r>
      <w:r>
        <w:rPr>
          <w:rFonts w:hint="eastAsia" w:ascii="仿宋_GB2312" w:hAnsi="仿宋_GB2312" w:eastAsia="仿宋_GB2312" w:cs="仿宋_GB2312"/>
          <w:kern w:val="0"/>
          <w:sz w:val="32"/>
          <w:szCs w:val="32"/>
          <w:lang w:eastAsia="zh-CN"/>
        </w:rPr>
        <w:t>法院</w:t>
      </w:r>
      <w:r>
        <w:rPr>
          <w:rFonts w:hint="eastAsia" w:ascii="仿宋_GB2312" w:hAnsi="仿宋_GB2312" w:eastAsia="仿宋_GB2312" w:cs="仿宋_GB2312"/>
          <w:kern w:val="0"/>
          <w:sz w:val="32"/>
          <w:szCs w:val="32"/>
        </w:rPr>
        <w:t>管理的</w:t>
      </w:r>
      <w:r>
        <w:rPr>
          <w:rFonts w:hint="eastAsia" w:ascii="仿宋_GB2312" w:hAnsi="仿宋_GB2312" w:eastAsia="仿宋_GB2312" w:cs="仿宋_GB2312"/>
          <w:kern w:val="0"/>
          <w:sz w:val="32"/>
          <w:szCs w:val="32"/>
          <w:lang w:eastAsia="zh-CN"/>
        </w:rPr>
        <w:t>河南省法官进修学院漯河分院</w:t>
      </w:r>
      <w:r>
        <w:rPr>
          <w:rFonts w:hint="eastAsia" w:ascii="仿宋_GB2312" w:hAnsi="仿宋_GB2312" w:eastAsia="仿宋_GB2312" w:cs="仿宋_GB2312"/>
          <w:kern w:val="0"/>
          <w:sz w:val="32"/>
          <w:szCs w:val="32"/>
        </w:rPr>
        <w:t>、</w:t>
      </w:r>
      <w:r>
        <w:rPr>
          <w:rFonts w:hint="eastAsia" w:ascii="仿宋_GB2312" w:eastAsia="仿宋_GB2312" w:cs="宋体"/>
          <w:b w:val="0"/>
          <w:bCs w:val="0"/>
          <w:kern w:val="0"/>
          <w:sz w:val="32"/>
          <w:szCs w:val="32"/>
          <w:lang w:bidi="ar-SA"/>
        </w:rPr>
        <w:t>漯河市中级人民法院</w:t>
      </w:r>
      <w:r>
        <w:rPr>
          <w:rFonts w:hint="eastAsia" w:ascii="仿宋_GB2312" w:eastAsia="仿宋_GB2312" w:cs="宋体"/>
          <w:b w:val="0"/>
          <w:bCs w:val="0"/>
          <w:kern w:val="0"/>
          <w:sz w:val="32"/>
          <w:szCs w:val="32"/>
          <w:lang w:eastAsia="zh-CN" w:bidi="ar-SA"/>
        </w:rPr>
        <w:t>机关后勤服务中心</w:t>
      </w:r>
      <w:r>
        <w:rPr>
          <w:rFonts w:hint="eastAsia" w:ascii="仿宋_GB2312" w:hAnsi="仿宋_GB2312" w:eastAsia="仿宋_GB2312" w:cs="仿宋_GB2312"/>
          <w:kern w:val="0"/>
          <w:sz w:val="32"/>
          <w:szCs w:val="32"/>
        </w:rPr>
        <w:t>单位决算纳入我部门汇总反映。</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纳入本部门2023年度部门决算编制范围的单位共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二级预算单位</w:t>
      </w:r>
      <w:r>
        <w:rPr>
          <w:rFonts w:hint="eastAsia" w:ascii="仿宋_GB2312" w:hAnsi="仿宋_GB2312" w:eastAsia="仿宋_GB2312" w:cs="仿宋_GB2312"/>
          <w:kern w:val="0"/>
          <w:sz w:val="32"/>
          <w:szCs w:val="32"/>
          <w:lang w:eastAsia="zh-CN"/>
        </w:rPr>
        <w:t>。</w:t>
      </w: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3</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82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5775.12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32</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w:t>
            </w:r>
            <w:r>
              <w:rPr>
                <w:rFonts w:ascii="宋体" w:hAnsi="宋体" w:cs="宋体"/>
                <w:color w:val="000000"/>
                <w:kern w:val="0"/>
                <w:sz w:val="20"/>
                <w:szCs w:val="20"/>
                <w:lang w:bidi="zh-HK"/>
              </w:rPr>
              <w:t>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33</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三、国有资本</w:t>
            </w:r>
            <w:r>
              <w:rPr>
                <w:rFonts w:ascii="宋体" w:hAnsi="宋体" w:cs="宋体"/>
                <w:color w:val="000000"/>
                <w:kern w:val="0"/>
                <w:sz w:val="20"/>
                <w:szCs w:val="20"/>
                <w:lang w:bidi="zh-HK"/>
              </w:rPr>
              <w:t>经营预算财政拨款</w:t>
            </w:r>
            <w:r>
              <w:rPr>
                <w:rFonts w:hint="eastAsia" w:ascii="宋体" w:hAnsi="宋体" w:cs="宋体"/>
                <w:color w:val="000000"/>
                <w:kern w:val="0"/>
                <w:sz w:val="20"/>
                <w:szCs w:val="20"/>
                <w:lang w:bidi="zh-HK"/>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34</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35</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4499.37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36</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37</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3</w:t>
            </w:r>
            <w:r>
              <w:rPr>
                <w:rFonts w:hint="eastAsia" w:ascii="宋体" w:hAnsi="宋体" w:cs="宋体"/>
                <w:color w:val="000000"/>
                <w:kern w:val="0"/>
                <w:sz w:val="20"/>
                <w:szCs w:val="20"/>
                <w:lang w:bidi="zh-HK"/>
              </w:rPr>
              <w:t>8</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3</w:t>
            </w:r>
            <w:r>
              <w:rPr>
                <w:rFonts w:hint="eastAsia" w:ascii="宋体" w:hAnsi="宋体" w:cs="宋体"/>
                <w:color w:val="000000"/>
                <w:kern w:val="0"/>
                <w:sz w:val="20"/>
                <w:szCs w:val="20"/>
                <w:lang w:bidi="zh-HK"/>
              </w:rPr>
              <w:t>9</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500.76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4</w:t>
            </w:r>
            <w:r>
              <w:rPr>
                <w:rFonts w:hint="eastAsia" w:ascii="宋体" w:hAnsi="宋体" w:cs="宋体"/>
                <w:color w:val="000000"/>
                <w:kern w:val="0"/>
                <w:sz w:val="20"/>
                <w:szCs w:val="20"/>
                <w:lang w:bidi="zh-HK"/>
              </w:rPr>
              <w:t>0</w:t>
            </w:r>
          </w:p>
        </w:tc>
        <w:tc>
          <w:tcPr>
            <w:tcW w:w="16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42</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44</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45</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49</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50</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261.65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51</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53</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54</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55</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56</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57</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5895.12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5400.98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使用非</w:t>
            </w:r>
            <w:r>
              <w:rPr>
                <w:rFonts w:ascii="宋体" w:hAnsi="宋体" w:cs="宋体"/>
                <w:color w:val="000000"/>
                <w:kern w:val="0"/>
                <w:sz w:val="20"/>
                <w:szCs w:val="20"/>
                <w:lang w:bidi="zh-HK"/>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608.86</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60</w:t>
            </w:r>
          </w:p>
        </w:tc>
        <w:tc>
          <w:tcPr>
            <w:tcW w:w="1699" w:type="dxa"/>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1103.01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w:t>
            </w:r>
          </w:p>
        </w:tc>
        <w:tc>
          <w:tcPr>
            <w:tcW w:w="1699" w:type="dxa"/>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6503.99</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62</w:t>
            </w:r>
          </w:p>
        </w:tc>
        <w:tc>
          <w:tcPr>
            <w:tcW w:w="1699" w:type="dxa"/>
            <w:tcBorders>
              <w:top w:val="single" w:color="000000" w:sz="4" w:space="0"/>
              <w:left w:val="nil"/>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6503.99</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1027"/>
        <w:gridCol w:w="59"/>
        <w:gridCol w:w="1649"/>
        <w:gridCol w:w="1175"/>
        <w:gridCol w:w="295"/>
        <w:gridCol w:w="1258"/>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4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7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5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49"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7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50" w:hRule="atLeast"/>
        </w:trPr>
        <w:tc>
          <w:tcPr>
            <w:tcW w:w="2735"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4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本年收入合计</w:t>
            </w:r>
          </w:p>
        </w:tc>
        <w:tc>
          <w:tcPr>
            <w:tcW w:w="143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43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43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735"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r>
      <w:tr>
        <w:tblPrEx>
          <w:tblCellMar>
            <w:top w:w="0" w:type="dxa"/>
            <w:left w:w="0" w:type="dxa"/>
            <w:bottom w:w="0" w:type="dxa"/>
            <w:right w:w="0" w:type="dxa"/>
          </w:tblCellMar>
        </w:tblPrEx>
        <w:trPr>
          <w:trHeight w:val="450" w:hRule="atLeast"/>
        </w:trPr>
        <w:tc>
          <w:tcPr>
            <w:tcW w:w="2735"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5895.12</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5775.12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2040599</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其他法院支出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385.00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385.00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2101101</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226.50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226.50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2299999</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2080801</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死亡抚恤</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60.54</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60.54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2080501</w:t>
            </w:r>
          </w:p>
        </w:tc>
        <w:tc>
          <w:tcPr>
            <w:tcW w:w="164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147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362.42</w:t>
            </w: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362.42</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2040501</w:t>
            </w:r>
          </w:p>
        </w:tc>
        <w:tc>
          <w:tcPr>
            <w:tcW w:w="164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47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3479.96</w:t>
            </w: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3479.96</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64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47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266.80</w:t>
            </w: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266.80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2040504</w:t>
            </w:r>
          </w:p>
        </w:tc>
        <w:tc>
          <w:tcPr>
            <w:tcW w:w="164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案件审判</w:t>
            </w:r>
          </w:p>
        </w:tc>
        <w:tc>
          <w:tcPr>
            <w:tcW w:w="147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380.00</w:t>
            </w: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5040502</w:t>
            </w:r>
          </w:p>
        </w:tc>
        <w:tc>
          <w:tcPr>
            <w:tcW w:w="1649"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470"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323.90</w:t>
            </w: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323.90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1"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64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1120"/>
        <w:gridCol w:w="63"/>
        <w:gridCol w:w="27"/>
        <w:gridCol w:w="1690"/>
        <w:gridCol w:w="1433"/>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43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90"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6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43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50" w:hRule="atLeast"/>
        </w:trPr>
        <w:tc>
          <w:tcPr>
            <w:tcW w:w="2900"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563"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7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5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563"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900"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r>
      <w:tr>
        <w:tblPrEx>
          <w:tblCellMar>
            <w:top w:w="0" w:type="dxa"/>
            <w:left w:w="0" w:type="dxa"/>
            <w:bottom w:w="0" w:type="dxa"/>
            <w:right w:w="0" w:type="dxa"/>
          </w:tblCellMar>
        </w:tblPrEx>
        <w:trPr>
          <w:trHeight w:val="450" w:hRule="atLeast"/>
        </w:trPr>
        <w:tc>
          <w:tcPr>
            <w:tcW w:w="2900"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5400.98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3741.80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1659.18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2040599</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其他法院支出</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692.14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692.14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2101101</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行政单位医疗</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2080801</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死亡抚恤</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机关事业单位基本养老保险费支出</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193.08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193.08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2080501</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行政单位离退休</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247.14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247.14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住房公积金</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261.65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261.65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2040501</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行政运行</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3060.15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2900.73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159.42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2040504</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案件审判</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359.35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359.35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2040502</w:t>
            </w:r>
          </w:p>
        </w:tc>
        <w:tc>
          <w:tcPr>
            <w:tcW w:w="171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一般行政管理事务</w:t>
            </w:r>
          </w:p>
        </w:tc>
        <w:tc>
          <w:tcPr>
            <w:tcW w:w="1563"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387.74</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387.74</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3417"/>
        <w:gridCol w:w="593"/>
        <w:gridCol w:w="1290"/>
        <w:gridCol w:w="3555"/>
        <w:gridCol w:w="658"/>
        <w:gridCol w:w="1127"/>
        <w:gridCol w:w="1185"/>
        <w:gridCol w:w="147"/>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财政拨款收入支出决算总表</w:t>
            </w:r>
          </w:p>
        </w:tc>
        <w:tc>
          <w:tcPr>
            <w:tcW w:w="1058" w:type="dxa"/>
            <w:tcBorders>
              <w:top w:val="nil"/>
              <w:left w:val="nil"/>
              <w:bottom w:val="nil"/>
              <w:right w:val="nil"/>
            </w:tcBorders>
            <w:shd w:val="clear" w:color="auto" w:fill="auto"/>
            <w:noWrap w:val="0"/>
            <w:vAlign w:val="top"/>
          </w:tcPr>
          <w:p>
            <w:pPr>
              <w:widowControl/>
              <w:jc w:val="center"/>
              <w:textAlignment w:val="center"/>
              <w:rPr>
                <w:rFonts w:hint="eastAsia" w:ascii="华文中宋" w:hAnsi="华文中宋" w:eastAsia="华文中宋" w:cs="华文中宋"/>
                <w:color w:val="000000"/>
                <w:kern w:val="0"/>
                <w:sz w:val="32"/>
                <w:szCs w:val="32"/>
                <w:lang w:bidi="zh-HK"/>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59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2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658"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2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33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593"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290"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658"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27" w:type="dxa"/>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332"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kern w:val="0"/>
                <w:sz w:val="20"/>
                <w:szCs w:val="20"/>
                <w:lang w:bidi="zh-HK"/>
              </w:rPr>
            </w:pPr>
          </w:p>
        </w:tc>
        <w:tc>
          <w:tcPr>
            <w:tcW w:w="1058"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02" w:hRule="atLeast"/>
        </w:trPr>
        <w:tc>
          <w:tcPr>
            <w:tcW w:w="5300"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收入</w:t>
            </w:r>
          </w:p>
        </w:tc>
        <w:tc>
          <w:tcPr>
            <w:tcW w:w="8673"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金额</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行次</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一般公共预算财政拨款</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top"/>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    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zh-HK"/>
              </w:rPr>
            </w:pPr>
            <w:r>
              <w:rPr>
                <w:rFonts w:ascii="宋体" w:hAnsi="宋体" w:cs="宋体"/>
                <w:color w:val="000000"/>
                <w:kern w:val="0"/>
                <w:sz w:val="20"/>
                <w:szCs w:val="20"/>
                <w:lang w:bidi="zh-HK"/>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5775.12</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一、一般公共服务支出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33</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二、政府性基金预算财政拨款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二、外交支出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34</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三、国防支出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35</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四、公共安全支出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36</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4499.37</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4499.37</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五、教育支出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37</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zh-HK"/>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六、科学技术支出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38</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39</w:t>
            </w:r>
          </w:p>
        </w:tc>
        <w:tc>
          <w:tcPr>
            <w:tcW w:w="1127"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40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500.76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500.76</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lang w:val="en-US" w:eastAsia="zh-CN"/>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九、卫生健康支出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139.19</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十、节能环保支出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42</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十一、城乡社区支出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43</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十二、农林水支出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44</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十三、交通运输支出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45</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46</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47</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48</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49</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261.65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261.65</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52</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sz w:val="20"/>
                <w:szCs w:val="20"/>
                <w:lang w:val="en-US" w:eastAsia="zh-CN"/>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53</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54</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55</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56</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57</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val="en-US" w:eastAsia="zh-CN" w:bidi="zh-HK"/>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bidi="zh-HK"/>
              </w:rPr>
            </w:pPr>
            <w:r>
              <w:rPr>
                <w:rFonts w:hint="eastAsia" w:ascii="宋体" w:hAnsi="宋体" w:cs="宋体"/>
                <w:color w:val="000000"/>
                <w:kern w:val="0"/>
                <w:sz w:val="20"/>
                <w:szCs w:val="20"/>
                <w:lang w:val="en-US" w:eastAsia="zh-CN" w:bidi="zh-HK"/>
              </w:rPr>
              <w:t>58</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本年收入合计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5775.12</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本年支出合计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5400.98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5400.98</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b/>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b/>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年初财政拨款结转和结余</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608.86</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年末财政拨款结转和结余</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983.01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983.01</w:t>
            </w: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4" w:space="0"/>
              <w:right w:val="single" w:color="000000" w:sz="8" w:space="0"/>
            </w:tcBorders>
            <w:shd w:val="clear" w:color="auto" w:fill="auto"/>
            <w:noWrap w:val="0"/>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一般公共预算财政拨款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608.86</w:t>
            </w:r>
          </w:p>
        </w:tc>
        <w:tc>
          <w:tcPr>
            <w:tcW w:w="3555" w:type="dxa"/>
            <w:tcBorders>
              <w:top w:val="single" w:color="000000" w:sz="4" w:space="0"/>
              <w:left w:val="single" w:color="000000" w:sz="4" w:space="0"/>
              <w:bottom w:val="single" w:color="000000" w:sz="4" w:space="0"/>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61</w:t>
            </w:r>
          </w:p>
        </w:tc>
        <w:tc>
          <w:tcPr>
            <w:tcW w:w="1127" w:type="dxa"/>
            <w:tcBorders>
              <w:top w:val="single" w:color="000000" w:sz="4" w:space="0"/>
              <w:left w:val="nil"/>
              <w:bottom w:val="single" w:color="000000" w:sz="4" w:space="0"/>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single" w:color="000000" w:sz="4"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政府性基金预算财政拨款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29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62</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290" w:type="dxa"/>
            <w:tcBorders>
              <w:top w:val="single" w:color="000000" w:sz="4" w:space="0"/>
              <w:left w:val="single" w:color="000000" w:sz="4" w:space="0"/>
              <w:bottom w:val="nil"/>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3555" w:type="dxa"/>
            <w:tcBorders>
              <w:top w:val="single" w:color="000000" w:sz="4" w:space="0"/>
              <w:left w:val="single" w:color="000000" w:sz="4" w:space="0"/>
              <w:bottom w:val="nil"/>
              <w:right w:val="nil"/>
            </w:tcBorders>
            <w:shd w:val="clear" w:color="auto" w:fill="auto"/>
            <w:noWrap/>
            <w:tcMar>
              <w:top w:w="15" w:type="dxa"/>
              <w:left w:w="15" w:type="dxa"/>
              <w:bottom w:w="0" w:type="dxa"/>
              <w:right w:w="15" w:type="dxa"/>
            </w:tcMar>
            <w:vAlign w:val="center"/>
          </w:tcPr>
          <w:p>
            <w:pPr>
              <w:jc w:val="left"/>
              <w:rPr>
                <w:rFonts w:hint="eastAsia" w:ascii="宋体" w:hAnsi="宋体" w:cs="宋体"/>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63</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90" w:type="dxa"/>
            <w:gridSpan w:val="2"/>
            <w:tcBorders>
              <w:top w:val="single" w:color="000000" w:sz="4" w:space="0"/>
              <w:left w:val="nil"/>
              <w:bottom w:val="nil"/>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color w:val="000000"/>
                <w:sz w:val="20"/>
                <w:szCs w:val="20"/>
              </w:rPr>
            </w:pPr>
          </w:p>
        </w:tc>
        <w:tc>
          <w:tcPr>
            <w:tcW w:w="1058" w:type="dxa"/>
            <w:tcBorders>
              <w:top w:val="single" w:color="000000" w:sz="4" w:space="0"/>
              <w:left w:val="nil"/>
              <w:bottom w:val="nil"/>
              <w:right w:val="single" w:color="000000" w:sz="8" w:space="0"/>
            </w:tcBorders>
            <w:shd w:val="clear" w:color="auto" w:fill="auto"/>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129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6383.99</w:t>
            </w:r>
          </w:p>
        </w:tc>
        <w:tc>
          <w:tcPr>
            <w:tcW w:w="3555" w:type="dxa"/>
            <w:tcBorders>
              <w:top w:val="single" w:color="000000" w:sz="4" w:space="0"/>
              <w:left w:val="single" w:color="000000" w:sz="4" w:space="0"/>
              <w:bottom w:val="single" w:color="000000" w:sz="8" w:space="0"/>
              <w:right w:val="nil"/>
            </w:tcBorders>
            <w:shd w:val="clear" w:color="auto" w:fill="FFFFFF"/>
            <w:noWrap/>
            <w:tcMar>
              <w:top w:w="15" w:type="dxa"/>
              <w:left w:w="15" w:type="dxa"/>
              <w:bottom w:w="0"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zh-HK"/>
              </w:rPr>
              <w:t>总计</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zh-HK"/>
              </w:rPr>
              <w:t>64</w:t>
            </w:r>
          </w:p>
        </w:tc>
        <w:tc>
          <w:tcPr>
            <w:tcW w:w="1127" w:type="dxa"/>
            <w:tcBorders>
              <w:top w:val="single" w:color="000000" w:sz="4" w:space="0"/>
              <w:left w:val="nil"/>
              <w:bottom w:val="nil"/>
              <w:right w:val="nil"/>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6383.99</w:t>
            </w:r>
          </w:p>
        </w:tc>
        <w:tc>
          <w:tcPr>
            <w:tcW w:w="1185"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6383.99</w:t>
            </w:r>
          </w:p>
        </w:tc>
        <w:tc>
          <w:tcPr>
            <w:tcW w:w="1090" w:type="dxa"/>
            <w:gridSpan w:val="2"/>
            <w:tcBorders>
              <w:top w:val="single" w:color="000000" w:sz="4" w:space="0"/>
              <w:left w:val="nil"/>
              <w:bottom w:val="single" w:color="000000" w:sz="8" w:space="0"/>
              <w:right w:val="single" w:color="000000" w:sz="8" w:space="0"/>
            </w:tcBorders>
            <w:shd w:val="clear" w:color="auto" w:fill="auto"/>
            <w:noWrap/>
            <w:tcMar>
              <w:top w:w="15" w:type="dxa"/>
              <w:left w:w="15" w:type="dxa"/>
              <w:bottom w:w="0" w:type="dxa"/>
              <w:right w:w="15" w:type="dxa"/>
            </w:tcMar>
            <w:vAlign w:val="center"/>
          </w:tcPr>
          <w:p>
            <w:pPr>
              <w:jc w:val="right"/>
              <w:rPr>
                <w:rFonts w:hint="eastAsia" w:ascii="宋体" w:hAnsi="宋体" w:cs="宋体"/>
                <w:b/>
                <w:bCs/>
                <w:color w:val="000000"/>
                <w:sz w:val="20"/>
                <w:szCs w:val="20"/>
              </w:rPr>
            </w:pPr>
            <w:r>
              <w:rPr>
                <w:rFonts w:hint="eastAsia" w:ascii="宋体" w:hAnsi="宋体" w:cs="宋体"/>
                <w:color w:val="000000"/>
                <w:sz w:val="20"/>
                <w:szCs w:val="20"/>
                <w:lang w:val="en-US" w:eastAsia="zh-CN"/>
              </w:rPr>
              <w:t>0.00</w:t>
            </w:r>
          </w:p>
        </w:tc>
        <w:tc>
          <w:tcPr>
            <w:tcW w:w="1058" w:type="dxa"/>
            <w:tcBorders>
              <w:top w:val="single" w:color="000000" w:sz="4" w:space="0"/>
              <w:left w:val="nil"/>
              <w:bottom w:val="single" w:color="000000" w:sz="8" w:space="0"/>
              <w:right w:val="single" w:color="000000" w:sz="8" w:space="0"/>
            </w:tcBorders>
            <w:shd w:val="clear" w:color="auto" w:fill="auto"/>
            <w:noWrap w:val="0"/>
            <w:vAlign w:val="center"/>
          </w:tcPr>
          <w:p>
            <w:pPr>
              <w:jc w:val="right"/>
              <w:rPr>
                <w:rFonts w:hint="eastAsia" w:ascii="宋体" w:hAnsi="宋体" w:cs="宋体"/>
                <w:b/>
                <w:bCs/>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shd w:val="clear" w:color="auto" w:fill="auto"/>
            <w:noWrap w:val="0"/>
            <w:vAlign w:val="top"/>
          </w:tcPr>
          <w:p>
            <w:pPr>
              <w:widowControl/>
              <w:jc w:val="left"/>
              <w:textAlignment w:val="center"/>
              <w:rPr>
                <w:rFonts w:hint="eastAsia" w:ascii="宋体" w:hAnsi="宋体" w:cs="宋体"/>
                <w:color w:val="000000"/>
                <w:kern w:val="0"/>
                <w:sz w:val="20"/>
                <w:szCs w:val="20"/>
                <w:lang w:bidi="zh-HK"/>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shd w:val="clear" w:color="auto" w:fill="auto"/>
        <w:tblLayout w:type="fixed"/>
        <w:tblCellMar>
          <w:top w:w="0" w:type="dxa"/>
          <w:left w:w="0" w:type="dxa"/>
          <w:bottom w:w="0" w:type="dxa"/>
          <w:right w:w="0" w:type="dxa"/>
        </w:tblCellMar>
      </w:tblPr>
      <w:tblGrid>
        <w:gridCol w:w="726"/>
        <w:gridCol w:w="282"/>
        <w:gridCol w:w="406"/>
        <w:gridCol w:w="3616"/>
        <w:gridCol w:w="2820"/>
        <w:gridCol w:w="3270"/>
        <w:gridCol w:w="2868"/>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noWrap w:val="0"/>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688"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616"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2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327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868"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Style w:val="13"/>
                <w:rFonts w:hint="default"/>
                <w:lang w:bidi="zh-HK"/>
              </w:rPr>
              <w:t>5表</w:t>
            </w:r>
          </w:p>
        </w:tc>
      </w:tr>
      <w:tr>
        <w:tblPrEx>
          <w:tblCellMar>
            <w:top w:w="0" w:type="dxa"/>
            <w:left w:w="0" w:type="dxa"/>
            <w:bottom w:w="0" w:type="dxa"/>
            <w:right w:w="0" w:type="dxa"/>
          </w:tblCellMar>
        </w:tblPrEx>
        <w:trPr>
          <w:trHeight w:val="300" w:hRule="atLeast"/>
        </w:trPr>
        <w:tc>
          <w:tcPr>
            <w:tcW w:w="1008"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406"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616"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2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327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868"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05" w:hRule="atLeast"/>
        </w:trPr>
        <w:tc>
          <w:tcPr>
            <w:tcW w:w="5030" w:type="dxa"/>
            <w:gridSpan w:val="4"/>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项 </w:t>
            </w:r>
            <w:r>
              <w:rPr>
                <w:rStyle w:val="7"/>
                <w:rFonts w:hint="default"/>
                <w:sz w:val="20"/>
                <w:szCs w:val="20"/>
                <w:lang w:bidi="zh-HK"/>
              </w:rPr>
              <w:t xml:space="preserve">   </w:t>
            </w:r>
            <w:r>
              <w:rPr>
                <w:rStyle w:val="12"/>
                <w:rFonts w:hint="default"/>
                <w:sz w:val="20"/>
                <w:szCs w:val="20"/>
                <w:lang w:bidi="zh-HK"/>
              </w:rPr>
              <w:t>目</w:t>
            </w:r>
          </w:p>
        </w:tc>
        <w:tc>
          <w:tcPr>
            <w:tcW w:w="8958" w:type="dxa"/>
            <w:gridSpan w:val="3"/>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w:t>
            </w:r>
          </w:p>
        </w:tc>
      </w:tr>
      <w:tr>
        <w:tblPrEx>
          <w:tblCellMar>
            <w:top w:w="0" w:type="dxa"/>
            <w:left w:w="0" w:type="dxa"/>
            <w:bottom w:w="0" w:type="dxa"/>
            <w:right w:w="0" w:type="dxa"/>
          </w:tblCellMar>
        </w:tblPrEx>
        <w:trPr>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361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282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327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2868" w:type="dxa"/>
            <w:vMerge w:val="restart"/>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r>
      <w:tr>
        <w:tblPrEx>
          <w:tblCellMar>
            <w:top w:w="0" w:type="dxa"/>
            <w:left w:w="0" w:type="dxa"/>
            <w:bottom w:w="0" w:type="dxa"/>
            <w:right w:w="0" w:type="dxa"/>
          </w:tblCellMar>
        </w:tblPrEx>
        <w:trPr>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6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2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27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68" w:type="dxa"/>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6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2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327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868" w:type="dxa"/>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5030" w:type="dxa"/>
            <w:gridSpan w:val="4"/>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r>
      <w:tr>
        <w:tblPrEx>
          <w:tblCellMar>
            <w:top w:w="0" w:type="dxa"/>
            <w:left w:w="0" w:type="dxa"/>
            <w:bottom w:w="0" w:type="dxa"/>
            <w:right w:w="0" w:type="dxa"/>
          </w:tblCellMar>
        </w:tblPrEx>
        <w:trPr>
          <w:trHeight w:val="450" w:hRule="atLeast"/>
        </w:trPr>
        <w:tc>
          <w:tcPr>
            <w:tcW w:w="5030" w:type="dxa"/>
            <w:gridSpan w:val="4"/>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5400.98</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3741.80</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1659.18</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2040599</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其他法院支出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692.14</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692.14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2101101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行政单位医疗</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139.19</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2080801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死亡抚恤</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60.54</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0.00</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60.54</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2080505</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机关事业单位基本养老保险缴费支出</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193.08</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193.08</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2080501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lang w:eastAsia="zh-CN"/>
              </w:rPr>
            </w:pPr>
            <w:r>
              <w:rPr>
                <w:rFonts w:hint="eastAsia" w:ascii="宋体" w:hAnsi="宋体" w:cs="宋体"/>
                <w:color w:val="000000"/>
                <w:sz w:val="20"/>
                <w:szCs w:val="20"/>
                <w:lang w:eastAsia="zh-CN"/>
              </w:rPr>
              <w:t>行政单位离退休</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247.14</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247.14</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2210201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住房公积金</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261.65</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261.65</w:t>
            </w:r>
          </w:p>
        </w:tc>
        <w:tc>
          <w:tcPr>
            <w:tcW w:w="2868"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2040501</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行政运行</w:t>
            </w:r>
          </w:p>
        </w:tc>
        <w:tc>
          <w:tcPr>
            <w:tcW w:w="282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3060.15</w:t>
            </w:r>
          </w:p>
        </w:tc>
        <w:tc>
          <w:tcPr>
            <w:tcW w:w="327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2900.73</w:t>
            </w:r>
          </w:p>
        </w:tc>
        <w:tc>
          <w:tcPr>
            <w:tcW w:w="2868"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159.42</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2040504</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案件审判</w:t>
            </w:r>
          </w:p>
        </w:tc>
        <w:tc>
          <w:tcPr>
            <w:tcW w:w="282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359.35</w:t>
            </w:r>
          </w:p>
        </w:tc>
        <w:tc>
          <w:tcPr>
            <w:tcW w:w="327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2868"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359.35</w:t>
            </w:r>
          </w:p>
        </w:tc>
      </w:tr>
      <w:tr>
        <w:tblPrEx>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2040502</w:t>
            </w:r>
          </w:p>
        </w:tc>
        <w:tc>
          <w:tcPr>
            <w:tcW w:w="3616"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一般行政管理事务</w:t>
            </w:r>
          </w:p>
        </w:tc>
        <w:tc>
          <w:tcPr>
            <w:tcW w:w="282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387.74</w:t>
            </w:r>
          </w:p>
        </w:tc>
        <w:tc>
          <w:tcPr>
            <w:tcW w:w="327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2868"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387.74</w:t>
            </w: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332" w:type="dxa"/>
        <w:tblInd w:w="0" w:type="dxa"/>
        <w:shd w:val="clear" w:color="auto" w:fill="auto"/>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一般公共预算财政拨款基本支出决算明细表</w:t>
            </w:r>
          </w:p>
        </w:tc>
      </w:tr>
      <w:tr>
        <w:tblPrEx>
          <w:shd w:val="clear" w:color="auto" w:fill="auto"/>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zh-HK"/>
              </w:rPr>
              <w:t>部门</w:t>
            </w:r>
            <w:r>
              <w:rPr>
                <w:rFonts w:ascii="Arial" w:hAnsi="Arial" w:cs="Arial"/>
                <w:color w:val="000000"/>
                <w:kern w:val="0"/>
                <w:sz w:val="20"/>
                <w:szCs w:val="20"/>
                <w:lang w:bidi="zh-HK"/>
              </w:rPr>
              <w:t>：</w:t>
            </w:r>
          </w:p>
        </w:tc>
        <w:tc>
          <w:tcPr>
            <w:tcW w:w="278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color w:val="000000"/>
                <w:sz w:val="20"/>
                <w:szCs w:val="20"/>
              </w:rPr>
            </w:pPr>
          </w:p>
        </w:tc>
        <w:tc>
          <w:tcPr>
            <w:tcW w:w="1282"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2785"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93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2066"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93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c>
          <w:tcPr>
            <w:tcW w:w="870"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经济分类科目编码</w:t>
            </w:r>
          </w:p>
        </w:tc>
        <w:tc>
          <w:tcPr>
            <w:tcW w:w="3575"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282" w:type="dxa"/>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工资福利支出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2902.99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585.31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资本性支出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0.39</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基本工资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350.57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房屋建筑物购建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津贴补贴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362.81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办公设备购置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0.39</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奖金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1182.21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专用设备购置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30106</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31005</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基础设施建设</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30107</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绩效工资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31006</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大型修缮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30108</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193.42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31007</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信息网络及软件购置更新</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30109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31008</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物资储备</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30110</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31009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土地补偿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30209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116.02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31010</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安置补助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地上附着物和青苗补偿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333.82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拆迁补偿</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30114</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医疗费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57.09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公务用车购置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30199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237.59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31019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其他交通工具购置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对个人和家庭的补助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253.10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31021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文物和陈列品购置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离休费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31022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无形资产购置</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退休费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238.94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31099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其他资本性支出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退职（役）费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30218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对企业补助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30304</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抚恤金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31201</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资本金注入</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30305</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生活补助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政府投资基金股权投资</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30306</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救济费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费用补贴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30307</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31205</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利息补贴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30308</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助学金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30228</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31299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其他对企业补助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30309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奖励金</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30229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31.67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对社会保障基金补助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30310</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30231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31302</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对社会保险基金补助</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30311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zh-HK"/>
              </w:rPr>
              <w:t xml:space="preserve">  </w:t>
            </w:r>
            <w:r>
              <w:rPr>
                <w:rFonts w:hint="eastAsia" w:ascii="宋体" w:hAnsi="宋体" w:cs="宋体"/>
                <w:color w:val="000000"/>
                <w:kern w:val="0"/>
                <w:sz w:val="20"/>
                <w:szCs w:val="20"/>
                <w:lang w:eastAsia="zh-CN" w:bidi="zh-HK"/>
              </w:rPr>
              <w:t>代缴社会保险费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30239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117.45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31303</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补充全国社会保障基金</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zh-HK"/>
              </w:rPr>
              <w:t>30399</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ind w:left="199" w:leftChars="95" w:firstLine="0" w:firstLineChars="0"/>
              <w:rPr>
                <w:rFonts w:hint="eastAsia" w:ascii="宋体" w:hAnsi="宋体" w:cs="宋体"/>
                <w:color w:val="000000"/>
                <w:sz w:val="20"/>
                <w:szCs w:val="20"/>
              </w:rPr>
            </w:pPr>
            <w:r>
              <w:rPr>
                <w:rFonts w:hint="eastAsia" w:ascii="宋体" w:hAnsi="宋体" w:cs="宋体"/>
                <w:color w:val="000000"/>
                <w:kern w:val="0"/>
                <w:sz w:val="20"/>
                <w:szCs w:val="20"/>
                <w:lang w:bidi="zh-HK"/>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9.48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30240</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其他支出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30299</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60.98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39906</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赠与</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债务利息及费用支出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39907</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国家赔偿费用支出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30701</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39908</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30702</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39999</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其他支出</w:t>
            </w: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30704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bottom w:w="0"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3156.09</w:t>
            </w:r>
          </w:p>
        </w:tc>
        <w:tc>
          <w:tcPr>
            <w:tcW w:w="8319"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585.71</w:t>
            </w:r>
          </w:p>
        </w:tc>
      </w:tr>
      <w:tr>
        <w:tblPrEx>
          <w:tblCellMar>
            <w:top w:w="0" w:type="dxa"/>
            <w:left w:w="0" w:type="dxa"/>
            <w:bottom w:w="0" w:type="dxa"/>
            <w:right w:w="0" w:type="dxa"/>
          </w:tblCellMar>
        </w:tblPrEx>
        <w:trPr>
          <w:trHeight w:val="390" w:hRule="atLeast"/>
        </w:trPr>
        <w:tc>
          <w:tcPr>
            <w:tcW w:w="14332" w:type="dxa"/>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lang w:bidi="zh-HK"/>
              </w:rPr>
            </w:pPr>
            <w:r>
              <w:rPr>
                <w:rFonts w:hint="eastAsia" w:ascii="宋体" w:hAnsi="宋体" w:cs="宋体"/>
                <w:color w:val="000000"/>
                <w:kern w:val="0"/>
                <w:sz w:val="20"/>
                <w:szCs w:val="20"/>
                <w:lang w:bidi="zh-HK"/>
              </w:rPr>
              <w:t>注：本表反映部门本年度一般公共预算财政拨款基本支出明细情况。本表金额转换为万元时，因四舍五入可能存在尾差。</w:t>
            </w:r>
          </w:p>
          <w:p>
            <w:pPr>
              <w:widowControl/>
              <w:jc w:val="left"/>
              <w:textAlignment w:val="center"/>
              <w:rPr>
                <w:rFonts w:ascii="宋体" w:hAnsi="宋体" w:cs="宋体"/>
                <w:color w:val="000000"/>
                <w:kern w:val="0"/>
                <w:sz w:val="20"/>
                <w:szCs w:val="20"/>
                <w:lang w:bidi="zh-HK"/>
              </w:rPr>
            </w:pPr>
          </w:p>
          <w:p>
            <w:pPr>
              <w:widowControl/>
              <w:jc w:val="left"/>
              <w:textAlignment w:val="center"/>
              <w:rPr>
                <w:rFonts w:ascii="宋体" w:hAnsi="宋体" w:cs="宋体"/>
                <w:color w:val="000000"/>
                <w:kern w:val="0"/>
                <w:sz w:val="20"/>
                <w:szCs w:val="20"/>
                <w:lang w:bidi="zh-HK"/>
              </w:rPr>
            </w:pPr>
          </w:p>
          <w:p>
            <w:pPr>
              <w:widowControl/>
              <w:jc w:val="left"/>
              <w:textAlignment w:val="center"/>
              <w:rPr>
                <w:rFonts w:ascii="宋体" w:hAnsi="宋体" w:cs="宋体"/>
                <w:color w:val="000000"/>
                <w:kern w:val="0"/>
                <w:sz w:val="20"/>
                <w:szCs w:val="20"/>
                <w:lang w:bidi="zh-HK"/>
              </w:rPr>
            </w:pPr>
          </w:p>
          <w:p>
            <w:pPr>
              <w:widowControl/>
              <w:jc w:val="left"/>
              <w:textAlignment w:val="center"/>
              <w:rPr>
                <w:rFonts w:ascii="宋体" w:hAnsi="宋体" w:cs="宋体"/>
                <w:color w:val="000000"/>
                <w:kern w:val="0"/>
                <w:sz w:val="20"/>
                <w:szCs w:val="20"/>
                <w:lang w:bidi="zh-HK"/>
              </w:rPr>
            </w:pPr>
          </w:p>
          <w:p>
            <w:pPr>
              <w:widowControl/>
              <w:jc w:val="left"/>
              <w:textAlignment w:val="center"/>
              <w:rPr>
                <w:rFonts w:ascii="宋体" w:hAnsi="宋体" w:cs="宋体"/>
                <w:color w:val="000000"/>
                <w:kern w:val="0"/>
                <w:sz w:val="20"/>
                <w:szCs w:val="20"/>
                <w:lang w:bidi="zh-HK"/>
              </w:rPr>
            </w:pPr>
          </w:p>
          <w:tbl>
            <w:tblPr>
              <w:tblStyle w:val="5"/>
              <w:tblW w:w="14175" w:type="dxa"/>
              <w:tblInd w:w="0" w:type="dxa"/>
              <w:shd w:val="clear" w:color="auto" w:fill="auto"/>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607"/>
              <w:gridCol w:w="2409"/>
            </w:tblGrid>
            <w:tr>
              <w:tblPrEx>
                <w:tblCellMar>
                  <w:top w:w="0" w:type="dxa"/>
                  <w:left w:w="0" w:type="dxa"/>
                  <w:bottom w:w="0" w:type="dxa"/>
                  <w:right w:w="0" w:type="dxa"/>
                </w:tblCellMar>
              </w:tblPrEx>
              <w:trPr>
                <w:trHeight w:val="600" w:hRule="atLeast"/>
              </w:trPr>
              <w:tc>
                <w:tcPr>
                  <w:tcW w:w="14175" w:type="dxa"/>
                  <w:gridSpan w:val="16"/>
                  <w:tcBorders>
                    <w:top w:val="nil"/>
                    <w:left w:val="nil"/>
                    <w:bottom w:val="nil"/>
                    <w:right w:val="nil"/>
                  </w:tcBorders>
                  <w:shd w:val="clear" w:color="auto" w:fill="FFFFFF"/>
                  <w:noWrap w:val="0"/>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政府性基金预算财政拨款收入支出决算表</w:t>
                  </w:r>
                </w:p>
              </w:tc>
            </w:tr>
            <w:tr>
              <w:tblPrEx>
                <w:shd w:val="clear" w:color="auto" w:fill="auto"/>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53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Fonts w:ascii="宋体" w:hAnsi="宋体" w:cs="宋体"/>
                      <w:color w:val="000000"/>
                      <w:kern w:val="0"/>
                      <w:sz w:val="20"/>
                      <w:szCs w:val="20"/>
                      <w:lang w:bidi="zh-HK"/>
                    </w:rPr>
                    <w:t>7</w:t>
                  </w:r>
                  <w:r>
                    <w:rPr>
                      <w:rFonts w:hint="eastAsia" w:ascii="宋体" w:hAnsi="宋体" w:cs="宋体"/>
                      <w:color w:val="000000"/>
                      <w:kern w:val="0"/>
                      <w:sz w:val="20"/>
                      <w:szCs w:val="20"/>
                      <w:lang w:bidi="zh-HK"/>
                    </w:rPr>
                    <w:t>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50"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276" w:type="dxa"/>
                  <w:gridSpan w:val="2"/>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07"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    目</w:t>
                  </w:r>
                </w:p>
              </w:tc>
              <w:tc>
                <w:tcPr>
                  <w:tcW w:w="1926" w:type="dxa"/>
                  <w:gridSpan w:val="2"/>
                  <w:vMerge w:val="restart"/>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本年收入</w:t>
                  </w:r>
                </w:p>
              </w:tc>
              <w:tc>
                <w:tcPr>
                  <w:tcW w:w="5490" w:type="dxa"/>
                  <w:gridSpan w:val="6"/>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本年支出</w:t>
                  </w:r>
                </w:p>
              </w:tc>
              <w:tc>
                <w:tcPr>
                  <w:tcW w:w="2409" w:type="dxa"/>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年末结转和结余</w:t>
                  </w:r>
                </w:p>
              </w:tc>
            </w:tr>
            <w:tr>
              <w:tblPrEx>
                <w:tblCellMar>
                  <w:top w:w="0" w:type="dxa"/>
                  <w:left w:w="0" w:type="dxa"/>
                  <w:bottom w:w="0" w:type="dxa"/>
                  <w:right w:w="0" w:type="dxa"/>
                </w:tblCellMar>
              </w:tblPrEx>
              <w:trPr>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0"/>
                      <w:szCs w:val="20"/>
                      <w:lang w:bidi="zh-HK"/>
                    </w:rPr>
                  </w:pPr>
                  <w:r>
                    <w:rPr>
                      <w:rFonts w:hint="eastAsia" w:ascii="宋体" w:hAnsi="宋体" w:cs="宋体"/>
                      <w:color w:val="000000"/>
                      <w:kern w:val="0"/>
                      <w:sz w:val="20"/>
                      <w:szCs w:val="20"/>
                      <w:lang w:bidi="zh-HK"/>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科目名称</w:t>
                  </w: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927" w:type="dxa"/>
                  <w:gridSpan w:val="2"/>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基本支出</w:t>
                  </w:r>
                </w:p>
              </w:tc>
              <w:tc>
                <w:tcPr>
                  <w:tcW w:w="1637" w:type="dxa"/>
                  <w:gridSpan w:val="2"/>
                  <w:vMerge w:val="restart"/>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项目支出</w:t>
                  </w: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栏次</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r>
            <w:tr>
              <w:tblPrEx>
                <w:tblCellMar>
                  <w:top w:w="0" w:type="dxa"/>
                  <w:left w:w="0" w:type="dxa"/>
                  <w:bottom w:w="0" w:type="dxa"/>
                  <w:right w:w="0" w:type="dxa"/>
                </w:tblCellMar>
              </w:tblPrEx>
              <w:trPr>
                <w:trHeight w:val="450" w:hRule="atLeast"/>
              </w:trPr>
              <w:tc>
                <w:tcPr>
                  <w:tcW w:w="2424" w:type="dxa"/>
                  <w:gridSpan w:val="5"/>
                  <w:tcBorders>
                    <w:top w:val="nil"/>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4175" w:type="dxa"/>
                  <w:gridSpan w:val="16"/>
                  <w:tcBorders>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lang w:bidi="zh-HK"/>
                    </w:rPr>
                  </w:pPr>
                  <w:r>
                    <w:rPr>
                      <w:rFonts w:hint="eastAsia" w:ascii="宋体" w:hAnsi="宋体" w:cs="宋体"/>
                      <w:color w:val="000000"/>
                      <w:kern w:val="0"/>
                      <w:sz w:val="20"/>
                      <w:szCs w:val="20"/>
                      <w:lang w:bidi="zh-HK"/>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bl>
                  <w:tblPr>
                    <w:tblStyle w:val="5"/>
                    <w:tblW w:w="11980" w:type="dxa"/>
                    <w:tblInd w:w="868" w:type="dxa"/>
                    <w:shd w:val="clear" w:color="auto" w:fill="auto"/>
                    <w:tblLayout w:type="fixed"/>
                    <w:tblCellMar>
                      <w:top w:w="0" w:type="dxa"/>
                      <w:left w:w="108" w:type="dxa"/>
                      <w:bottom w:w="0" w:type="dxa"/>
                      <w:right w:w="108" w:type="dxa"/>
                    </w:tblCellMar>
                  </w:tblPr>
                  <w:tblGrid>
                    <w:gridCol w:w="1060"/>
                    <w:gridCol w:w="560"/>
                    <w:gridCol w:w="1820"/>
                    <w:gridCol w:w="2620"/>
                    <w:gridCol w:w="2620"/>
                    <w:gridCol w:w="3300"/>
                  </w:tblGrid>
                  <w:tr>
                    <w:tblPrEx>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shd w:val="clear" w:color="auto" w:fill="auto"/>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620"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300"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项 </w:t>
                        </w:r>
                        <w:r>
                          <w:rPr>
                            <w:rFonts w:hint="eastAsia" w:ascii="宋体" w:hAnsi="宋体" w:cs="宋体"/>
                            <w:color w:val="000000"/>
                            <w:kern w:val="0"/>
                            <w:sz w:val="22"/>
                          </w:rPr>
                          <w:t xml:space="preserve">   </w:t>
                        </w:r>
                        <w:r>
                          <w:rPr>
                            <w:rFonts w:hint="eastAsia" w:ascii="宋体" w:hAnsi="宋体" w:cs="宋体"/>
                            <w:kern w:val="0"/>
                            <w:sz w:val="24"/>
                            <w:szCs w:val="24"/>
                          </w:rPr>
                          <w:t>目</w:t>
                        </w:r>
                      </w:p>
                    </w:tc>
                    <w:tc>
                      <w:tcPr>
                        <w:tcW w:w="8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科目代码</w:t>
                        </w:r>
                      </w:p>
                    </w:tc>
                    <w:tc>
                      <w:tcPr>
                        <w:tcW w:w="18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科目名称</w:t>
                        </w:r>
                      </w:p>
                    </w:tc>
                    <w:tc>
                      <w:tcPr>
                        <w:tcW w:w="26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基本支出  </w:t>
                        </w:r>
                      </w:p>
                    </w:tc>
                    <w:tc>
                      <w:tcPr>
                        <w:tcW w:w="33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1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26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c>
                      <w:tcPr>
                        <w:tcW w:w="33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34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　</w:t>
                        </w:r>
                        <w:r>
                          <w:rPr>
                            <w:rFonts w:hint="eastAsia" w:ascii="宋体" w:hAnsi="宋体" w:cs="宋体"/>
                            <w:kern w:val="0"/>
                            <w:sz w:val="24"/>
                            <w:szCs w:val="24"/>
                            <w:lang w:val="en-US" w:eastAsia="zh-CN"/>
                          </w:rPr>
                          <w:t>0.00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8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6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1980" w:type="dxa"/>
                        <w:gridSpan w:val="6"/>
                        <w:tcBorders>
                          <w:top w:val="nil"/>
                          <w:left w:val="nil"/>
                          <w:bottom w:val="nil"/>
                          <w:right w:val="nil"/>
                        </w:tcBorders>
                        <w:shd w:val="clear" w:color="auto" w:fill="auto"/>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tc>
                  </w:tr>
                  <w:tr>
                    <w:tblPrEx>
                      <w:tblCellMar>
                        <w:top w:w="0" w:type="dxa"/>
                        <w:left w:w="108" w:type="dxa"/>
                        <w:bottom w:w="0" w:type="dxa"/>
                        <w:right w:w="108" w:type="dxa"/>
                      </w:tblCellMar>
                    </w:tblPrEx>
                    <w:trPr>
                      <w:trHeight w:val="285" w:hRule="atLeast"/>
                    </w:trPr>
                    <w:tc>
                      <w:tcPr>
                        <w:tcW w:w="11980" w:type="dxa"/>
                        <w:gridSpan w:val="6"/>
                        <w:tcBorders>
                          <w:top w:val="nil"/>
                          <w:left w:val="nil"/>
                          <w:bottom w:val="nil"/>
                          <w:right w:val="nil"/>
                        </w:tcBorders>
                        <w:shd w:val="clear" w:color="auto" w:fill="auto"/>
                        <w:noWrap w:val="0"/>
                        <w:vAlign w:val="center"/>
                      </w:tcPr>
                      <w:p>
                        <w:pPr>
                          <w:widowControl/>
                          <w:jc w:val="left"/>
                          <w:rPr>
                            <w:rFonts w:hint="eastAsia" w:ascii="宋体" w:hAnsi="宋体" w:cs="宋体"/>
                            <w:bCs/>
                            <w:kern w:val="0"/>
                            <w:sz w:val="24"/>
                            <w:szCs w:val="24"/>
                          </w:rPr>
                        </w:pPr>
                        <w:r>
                          <w:rPr>
                            <w:rFonts w:hint="eastAsia" w:ascii="宋体" w:hAnsi="宋体" w:cs="宋体"/>
                            <w:bCs/>
                            <w:kern w:val="0"/>
                            <w:sz w:val="24"/>
                            <w:szCs w:val="24"/>
                          </w:rPr>
                          <w:t>说明：我部门没有使用国有资本经营预算安排的支出，故本表无数据。</w:t>
                        </w:r>
                      </w:p>
                    </w:tc>
                  </w:tr>
                </w:tbl>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bl>
                  <w:tblPr>
                    <w:tblStyle w:val="5"/>
                    <w:tblW w:w="0" w:type="auto"/>
                    <w:tblInd w:w="0" w:type="dxa"/>
                    <w:shd w:val="clear" w:color="auto" w:fill="auto"/>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bottom w:w="0"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zh-HK"/>
                          </w:rPr>
                          <w:t>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公开0</w:t>
                        </w:r>
                        <w:r>
                          <w:rPr>
                            <w:rFonts w:ascii="宋体" w:hAnsi="宋体" w:cs="宋体"/>
                            <w:color w:val="000000"/>
                            <w:kern w:val="0"/>
                            <w:sz w:val="20"/>
                            <w:szCs w:val="20"/>
                            <w:lang w:bidi="zh-HK"/>
                          </w:rPr>
                          <w:t>9</w:t>
                        </w:r>
                        <w:r>
                          <w:rPr>
                            <w:rFonts w:hint="eastAsia" w:ascii="宋体" w:hAnsi="宋体" w:cs="宋体"/>
                            <w:color w:val="000000"/>
                            <w:kern w:val="0"/>
                            <w:sz w:val="20"/>
                            <w:szCs w:val="20"/>
                            <w:lang w:bidi="zh-HK"/>
                          </w:rPr>
                          <w:t>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部门：</w:t>
                        </w:r>
                      </w:p>
                    </w:tc>
                    <w:tc>
                      <w:tcPr>
                        <w:tcW w:w="1149"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bottom w:w="0"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bottom w:w="0"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预算数</w:t>
                        </w:r>
                      </w:p>
                    </w:tc>
                    <w:tc>
                      <w:tcPr>
                        <w:tcW w:w="6906" w:type="dxa"/>
                        <w:gridSpan w:val="6"/>
                        <w:tcBorders>
                          <w:top w:val="single" w:color="000000" w:sz="8"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公务用车购置及运行维护费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公务接待费</w:t>
                        </w:r>
                      </w:p>
                    </w:tc>
                    <w:tc>
                      <w:tcPr>
                        <w:tcW w:w="1151" w:type="dxa"/>
                        <w:vMerge w:val="restart"/>
                        <w:tcBorders>
                          <w:top w:val="single" w:color="000000" w:sz="4" w:space="0"/>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合计</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公务用车购置及运行维护费</w:t>
                        </w:r>
                      </w:p>
                    </w:tc>
                    <w:tc>
                      <w:tcPr>
                        <w:tcW w:w="1151" w:type="dxa"/>
                        <w:vMerge w:val="restart"/>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150"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购置费</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运行维护费</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小计</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购置费</w:t>
                        </w:r>
                      </w:p>
                    </w:tc>
                    <w:tc>
                      <w:tcPr>
                        <w:tcW w:w="1151"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公务用车</w:t>
                        </w:r>
                        <w:r>
                          <w:rPr>
                            <w:rFonts w:hint="eastAsia" w:ascii="宋体" w:hAnsi="宋体" w:cs="宋体"/>
                            <w:color w:val="000000"/>
                            <w:kern w:val="0"/>
                            <w:sz w:val="20"/>
                            <w:szCs w:val="20"/>
                            <w:lang w:bidi="zh-HK"/>
                          </w:rPr>
                          <w:br w:type="textWrapping"/>
                        </w:r>
                        <w:r>
                          <w:rPr>
                            <w:rFonts w:hint="eastAsia" w:ascii="宋体" w:hAnsi="宋体" w:cs="宋体"/>
                            <w:color w:val="000000"/>
                            <w:kern w:val="0"/>
                            <w:sz w:val="20"/>
                            <w:szCs w:val="20"/>
                            <w:lang w:bidi="zh-HK"/>
                          </w:rPr>
                          <w:t>运行维护费</w:t>
                        </w:r>
                      </w:p>
                    </w:tc>
                    <w:tc>
                      <w:tcPr>
                        <w:tcW w:w="1151" w:type="dxa"/>
                        <w:vMerge w:val="continue"/>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6</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8</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9</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11</w:t>
                        </w:r>
                      </w:p>
                    </w:tc>
                    <w:tc>
                      <w:tcPr>
                        <w:tcW w:w="1151" w:type="dxa"/>
                        <w:tcBorders>
                          <w:top w:val="single" w:color="000000" w:sz="4" w:space="0"/>
                          <w:left w:val="single" w:color="000000" w:sz="4" w:space="0"/>
                          <w:bottom w:val="single" w:color="000000" w:sz="4" w:space="0"/>
                          <w:right w:val="single" w:color="000000" w:sz="8" w:space="0"/>
                        </w:tcBorders>
                        <w:shd w:val="clear" w:color="auto" w:fill="auto"/>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42.00</w:t>
                        </w:r>
                      </w:p>
                    </w:tc>
                    <w:tc>
                      <w:tcPr>
                        <w:tcW w:w="1149"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7.00</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33.00</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33.00</w:t>
                        </w:r>
                      </w:p>
                    </w:tc>
                    <w:tc>
                      <w:tcPr>
                        <w:tcW w:w="115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41.43</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33.00</w:t>
                        </w:r>
                      </w:p>
                    </w:tc>
                    <w:tc>
                      <w:tcPr>
                        <w:tcW w:w="1151"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1151" w:type="dxa"/>
                        <w:tcBorders>
                          <w:top w:val="single" w:color="000000" w:sz="4" w:space="0"/>
                          <w:left w:val="single" w:color="000000" w:sz="4" w:space="0"/>
                          <w:bottom w:val="single" w:color="000000" w:sz="8" w:space="0"/>
                          <w:right w:val="nil"/>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33.00</w:t>
                        </w:r>
                      </w:p>
                    </w:tc>
                    <w:tc>
                      <w:tcPr>
                        <w:tcW w:w="1151" w:type="dxa"/>
                        <w:tcBorders>
                          <w:top w:val="single" w:color="000000" w:sz="4" w:space="0"/>
                          <w:left w:val="single" w:color="000000" w:sz="4" w:space="0"/>
                          <w:bottom w:val="single" w:color="000000" w:sz="8" w:space="0"/>
                          <w:right w:val="single" w:color="000000" w:sz="8" w:space="0"/>
                        </w:tcBorders>
                        <w:shd w:val="clear" w:color="auto" w:fill="auto"/>
                        <w:noWrap w:val="0"/>
                        <w:tcMar>
                          <w:top w:w="15" w:type="dxa"/>
                          <w:left w:w="15" w:type="dxa"/>
                          <w:bottom w:w="0"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shd w:val="clear" w:color="auto" w:fill="auto"/>
                        <w:noWrap w:val="0"/>
                        <w:tcMar>
                          <w:top w:w="15" w:type="dxa"/>
                          <w:left w:w="15" w:type="dxa"/>
                          <w:bottom w:w="0"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zh-HK"/>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tc>
                  </w:tr>
                </w:tbl>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jc w:val="left"/>
              <w:textAlignment w:val="center"/>
              <w:rPr>
                <w:rFonts w:hint="eastAsia" w:ascii="宋体" w:hAnsi="宋体" w:cs="宋体"/>
                <w:color w:val="000000"/>
                <w:kern w:val="0"/>
                <w:sz w:val="20"/>
                <w:szCs w:val="20"/>
                <w:lang w:bidi="zh-HK"/>
              </w:rPr>
            </w:pPr>
          </w:p>
          <w:p>
            <w:pPr>
              <w:widowControl/>
              <w:jc w:val="left"/>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tabs>
          <w:tab w:val="left" w:pos="5665"/>
        </w:tabs>
        <w:rPr>
          <w:rFonts w:ascii="仿宋_GB2312" w:hAnsi="仿宋_GB2312" w:eastAsia="仿宋_GB2312" w:cs="仿宋_GB2312"/>
          <w:sz w:val="32"/>
          <w:szCs w:val="32"/>
        </w:rPr>
      </w:pPr>
    </w:p>
    <w:p>
      <w:pPr>
        <w:tabs>
          <w:tab w:val="left" w:pos="5665"/>
        </w:tabs>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2023年度部门决算情况说明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年度收、支总计均为6503.99万元。与上年度相比，收、支总计各增加236.71万元，增长3.78%。主要原因是</w:t>
      </w:r>
      <w:r>
        <w:rPr>
          <w:rFonts w:hint="eastAsia" w:ascii="仿宋_GB2312" w:hAnsi="仿宋_GB2312" w:eastAsia="仿宋_GB2312" w:cs="仿宋_GB2312"/>
          <w:sz w:val="32"/>
          <w:szCs w:val="32"/>
          <w:lang w:val="en-US" w:eastAsia="zh-CN"/>
        </w:rPr>
        <w:t>2022年底我院补招部分聘用制书记员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2023年度聘用制</w:t>
      </w:r>
      <w:r>
        <w:rPr>
          <w:rFonts w:hint="eastAsia" w:ascii="仿宋_GB2312" w:hAnsi="仿宋_GB2312" w:eastAsia="仿宋_GB2312" w:cs="仿宋_GB2312"/>
          <w:sz w:val="32"/>
          <w:szCs w:val="32"/>
          <w:lang w:eastAsia="zh-CN"/>
        </w:rPr>
        <w:t>书记员经费增加，同时公共安全支出和社会保障和就业支出增加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年度收入合计5895.12万元，其中：财政拨款收入5775.12万元，占97.96%；</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万元，占2.04%。</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年度支出合计5400.98万元，其中：基本支出3741.80万元，占69.28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；项目支出1659.18万元，占30.72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年度财政拨款收、支总计均为6383.99万元。与上年度相比，财政拨款收、支总计各增加116.71万元，增长1.86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一是年初年末财政拨款结转和结余增加，二是聘用制书记员人员增加，相应经费投入支出增长</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年度一般公共预算财政拨款支出5400.98万元，占支出合计的100.00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。与上年度相比，一般公共预算财政拨款支出增加246.81万元，增长4.79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2022年底我院补招部分聘用制书记员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2023年度聘用制</w:t>
      </w:r>
      <w:r>
        <w:rPr>
          <w:rFonts w:hint="eastAsia" w:ascii="仿宋_GB2312" w:hAnsi="仿宋_GB2312" w:eastAsia="仿宋_GB2312" w:cs="仿宋_GB2312"/>
          <w:sz w:val="32"/>
          <w:szCs w:val="32"/>
          <w:lang w:eastAsia="zh-CN"/>
        </w:rPr>
        <w:t>书记员经费增加</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年度一般公共预算财政拨款支出5400.98万元，主要用于以下方面：</w:t>
      </w:r>
      <w:r>
        <w:rPr>
          <w:rFonts w:hint="eastAsia" w:ascii="仿宋_GB2312" w:hAnsi="仿宋_GB2312" w:eastAsia="仿宋_GB2312" w:cs="仿宋_GB2312"/>
          <w:sz w:val="32"/>
          <w:szCs w:val="32"/>
          <w:lang w:val="en-US" w:eastAsia="zh-CN"/>
        </w:rPr>
        <w:t>公共安全支出4499.37万元，占83.31%；</w:t>
      </w:r>
      <w:r>
        <w:rPr>
          <w:rFonts w:hint="eastAsia" w:ascii="仿宋_GB2312" w:hAnsi="仿宋_GB2312" w:eastAsia="仿宋_GB2312" w:cs="仿宋_GB2312"/>
          <w:sz w:val="32"/>
          <w:szCs w:val="32"/>
          <w:lang w:eastAsia="zh-CN"/>
        </w:rPr>
        <w:t>社会保障与就业支出</w:t>
      </w:r>
      <w:r>
        <w:rPr>
          <w:rFonts w:hint="eastAsia" w:ascii="仿宋_GB2312" w:hAnsi="仿宋_GB2312" w:eastAsia="仿宋_GB2312" w:cs="仿宋_GB2312"/>
          <w:sz w:val="32"/>
          <w:szCs w:val="32"/>
          <w:lang w:val="en-US" w:eastAsia="zh-CN"/>
        </w:rPr>
        <w:t>500.76万元，占9.27%；卫生健康支出139.19万元，占2.58%；</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261.65万元，占4.84%</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年度一般公共预算财政拨款支出年初预算为4983.30万元，支出决算为5400.98万元，完成年初预算的108.38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法院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3093.70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3060.10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98.91</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2023年单位退休人员增多</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法院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323.90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387.70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119.7</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人员变动引起相关开支增加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法院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案件审判</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359.30</w:t>
      </w:r>
      <w:r>
        <w:rPr>
          <w:rFonts w:hint="eastAsia" w:ascii="仿宋_GB2312" w:hAnsi="仿宋_GB2312" w:eastAsia="仿宋_GB2312" w:cs="仿宋_GB2312"/>
          <w:sz w:val="32"/>
          <w:szCs w:val="32"/>
        </w:rPr>
        <w:t>万元。决算数与年初预算数存在差异的主要原因是</w:t>
      </w:r>
      <w:r>
        <w:rPr>
          <w:rFonts w:hint="eastAsia" w:ascii="仿宋_GB2312" w:hAnsi="仿宋_GB2312" w:eastAsia="仿宋_GB2312" w:cs="仿宋_GB2312"/>
          <w:sz w:val="32"/>
          <w:szCs w:val="32"/>
          <w:lang w:val="en-US" w:eastAsia="zh-CN"/>
        </w:rPr>
        <w:t>2023年我院追加预算经费支出</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公共安全支出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法院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其他法院支出（项），年初预算为</w:t>
      </w:r>
      <w:r>
        <w:rPr>
          <w:rFonts w:hint="eastAsia" w:ascii="仿宋_GB2312" w:hAnsi="仿宋_GB2312" w:eastAsia="仿宋_GB2312" w:cs="仿宋_GB2312"/>
          <w:sz w:val="32"/>
          <w:szCs w:val="32"/>
          <w:lang w:val="en-US" w:eastAsia="zh-CN"/>
        </w:rPr>
        <w:t>451.00万元，支出决算为692.10万元，</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153.5</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年中追加部分预算项目</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5.社会保障和就业支出（类）行政单位离退休（款）行政单位离退休（项）。年初预算为331.40万元，支出决算为 247.10万元，完成年初预算的 74.6%。决算数与年初预算数存在差异的主要原因是2023年我院新增退休人员，社保缴费减少。</w:t>
      </w:r>
    </w:p>
    <w:p>
      <w:pPr>
        <w:widowControl/>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行政单位离退休（款）机关事业单位基本养老保险缴费支出（项）。年初预算为290.00万元，支出决算为193.10元，完成年初预算的66.6%。决算数与年初预算数存在差异的主要原因是一是2023年调整养老保险缴费基数，二是2023年我院新增退休人员，不需缴纳该项费用。</w:t>
      </w:r>
    </w:p>
    <w:p>
      <w:pPr>
        <w:widowControl/>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7.社会保障和就业支出（类）抚恤（款）死亡抚恤（项）。年初预算为0万元，支出决算为60.50万元。决算数与年初预算数存在差异的主要原因是2023年单位退休干部去世发放死亡抚恤金。</w:t>
      </w:r>
    </w:p>
    <w:p>
      <w:pPr>
        <w:widowControl/>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行政单位医疗（项）。年初预算为226.50万元，支出决算为139.20万元，完成年初预算的61.5%.决算数与年初预算数存在差异的主要原因是一是2023年调整医疗保险缴费基数，二是2023年我院新增退休人员，不需缴纳该项费用。</w:t>
      </w:r>
    </w:p>
    <w:p>
      <w:pPr>
        <w:widowControl/>
        <w:spacing w:line="590" w:lineRule="exact"/>
        <w:ind w:firstLine="640" w:firstLineChars="200"/>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住房保障支出（类）住房改革支出（款）住房公积金（项）。年初预算为266.80万元，支出决算为261.70万元，完成年初预算的98.1%.决算数与年初预算数存在差异的主要原因是2023年我院新增退休人员，不需缴纳该项费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3741.80万元。其中：人员经费3156.09万元，主要包括：基本工资、津贴补贴、伙食补助费、绩效工资、机关事业单位基本养老保险缴费、其他社会保障缴费、其他工资福利支出、退休费、抚恤金、医疗费、住房公积金、采暖补贴、物业服务补贴、其他对个人和家庭的补助支出；公用经费585.71万元，主要包括：办公费、印刷费、水费、电费、邮电费、物业管理费、差旅费、因公出国（境）费用、维修（护）费、公务接待费、专用材料费、劳务费、委托业务费、工会经费、福利费、公务用车运行维护费、其他交通费用、其他商品和服务支出、办公设备购置。</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pPr>
        <w:widowControl/>
        <w:spacing w:line="59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我单位无此项支出。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我单位无此项支出。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年度“三公”经费财政拨款支出预算为42.00万元，支出决算为41.43万元，完成预算的98.64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lang w:eastAsia="zh-CN"/>
        </w:rPr>
        <w:t>一是认真</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贯彻落实中央八项规定精神</w:t>
      </w:r>
      <w:r>
        <w:rPr>
          <w:rFonts w:hint="eastAsia" w:ascii="仿宋_GB2312" w:hAnsi="仿宋_GB2312" w:eastAsia="仿宋_GB2312" w:cs="仿宋_GB2312"/>
          <w:sz w:val="32"/>
          <w:szCs w:val="32"/>
          <w:lang w:eastAsia="zh-CN"/>
        </w:rPr>
        <w:t>，坚持厉行节约，严格执行</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党政机关公务接待管理有关规定，进一步完善内部管理制度，</w:t>
      </w:r>
      <w:r>
        <w:rPr>
          <w:rFonts w:hint="eastAsia" w:ascii="仿宋_GB2312" w:hAnsi="仿宋_GB2312" w:eastAsia="仿宋_GB2312" w:cs="仿宋_GB2312"/>
          <w:sz w:val="32"/>
          <w:szCs w:val="32"/>
          <w:lang w:eastAsia="zh-CN"/>
        </w:rPr>
        <w:t>强化公务用车管理，</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控制“三公”经费支出</w:t>
      </w:r>
      <w:r>
        <w:rPr>
          <w:rFonts w:hint="eastAsia" w:ascii="仿宋_GB2312" w:hAnsi="仿宋_GB2312" w:eastAsia="仿宋_GB2312" w:cs="仿宋_GB2312"/>
          <w:sz w:val="32"/>
          <w:szCs w:val="32"/>
        </w:rPr>
        <w:t>。</w:t>
      </w:r>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年度“三公”经费财政拨款支出决算中，因公出国（境）费支出决算6.90万元，完成预算的98.62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，占16.66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；公务用车购置及运行费支出决算33.00万元，完成预算的100.00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，占79.65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；公务接待费支出决算1.53万元，完成预算的76.37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，占3.69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widowControl/>
        <w:spacing w:line="59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预算为7.00万元，支出决算为6.90万元，完成预算的98.62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lang w:eastAsia="zh-CN"/>
        </w:rPr>
        <w:t>严格遵守</w:t>
      </w:r>
      <w:r>
        <w:rPr>
          <w:rFonts w:hint="eastAsia" w:ascii="仿宋_GB2312" w:hAnsi="仿宋_GB2312" w:eastAsia="仿宋_GB2312" w:cs="仿宋_GB2312"/>
          <w:sz w:val="32"/>
          <w:szCs w:val="32"/>
          <w:lang w:val="en-US" w:eastAsia="zh-CN"/>
        </w:rPr>
        <w:t>中共中央政治局《关于改进工作作风、密切联系群众的八项规定》的要求和《党政机关厉行节约反对浪费条例》的精神，进一步规范因公短期出国费用管理，严格按照批准经费预算及开支标准</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eastAsia="zh-CN"/>
        </w:rPr>
        <w:t>成本。</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因公出国（境）团组数1个，因公出国（境）人次数1人。开支内容包括：</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国际旅费、国外城市间交通费、住宿费、伙食费、公杂费、其他费用等</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预算为33.00万元，支出决算为33.00万元，完成预算的100.00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公务用车购置支出</w:t>
      </w:r>
      <w:r>
        <w:rPr>
          <w:rFonts w:hint="eastAsia" w:ascii="仿宋_GB2312" w:hAnsi="仿宋_GB2312" w:eastAsia="仿宋_GB2312" w:cs="仿宋_GB2312"/>
          <w:color w:val="000000" w:themeColor="text1"/>
          <w:sz w:val="32"/>
          <w:szCs w:val="32"/>
        </w:rPr>
        <w:t>为0.00万元</w:t>
      </w:r>
    </w:p>
    <w:p>
      <w:pPr>
        <w:widowControl/>
        <w:spacing w:line="590" w:lineRule="exact"/>
        <w:ind w:firstLine="642"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33.00万元。主要用于</w:t>
      </w:r>
      <w:r>
        <w:rPr>
          <w:rFonts w:hint="eastAsia" w:ascii="仿宋_GB2312" w:hAnsi="仿宋_GB2312" w:eastAsia="仿宋_GB2312" w:cs="仿宋_GB2312"/>
          <w:sz w:val="32"/>
          <w:szCs w:val="32"/>
          <w:lang w:eastAsia="zh-CN"/>
        </w:rPr>
        <w:t>燃油费、维修费、保险费、过桥过路费等支出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w:t>
      </w:r>
      <w:r>
        <w:rPr>
          <w:rFonts w:hint="eastAsia" w:ascii="仿宋_GB2312" w:hAnsi="仿宋_GB2312" w:eastAsia="仿宋_GB2312" w:cs="仿宋_GB2312"/>
          <w:color w:val="000000" w:themeColor="text1"/>
          <w:sz w:val="32"/>
          <w:szCs w:val="32"/>
        </w:rPr>
        <w:t>，单位开支财政拨款的公务用车保有量为</w:t>
      </w:r>
      <w:r>
        <w:rPr>
          <w:rFonts w:hint="eastAsia" w:ascii="仿宋_GB2312" w:hAnsi="仿宋_GB2312" w:eastAsia="仿宋_GB2312" w:cs="仿宋_GB2312"/>
          <w:color w:val="000000" w:themeColor="text1"/>
          <w:sz w:val="32"/>
          <w:szCs w:val="32"/>
          <w:lang w:val="en-US" w:eastAsia="zh-CN"/>
        </w:rPr>
        <w:t>22</w:t>
      </w:r>
      <w:r>
        <w:rPr>
          <w:rFonts w:hint="eastAsia" w:ascii="仿宋_GB2312" w:hAnsi="仿宋_GB2312" w:eastAsia="仿宋_GB2312" w:cs="仿宋_GB2312"/>
          <w:color w:val="000000" w:themeColor="text1"/>
          <w:sz w:val="32"/>
          <w:szCs w:val="32"/>
          <w:lang w:eastAsia="zh-CN"/>
        </w:rPr>
        <w:t>辆</w:t>
      </w:r>
      <w:r>
        <w:rPr>
          <w:rFonts w:hint="eastAsia" w:ascii="仿宋_GB2312" w:hAnsi="仿宋_GB2312" w:eastAsia="仿宋_GB2312" w:cs="仿宋_GB2312"/>
          <w:color w:val="000000" w:themeColor="text1"/>
          <w:sz w:val="32"/>
          <w:szCs w:val="32"/>
        </w:rPr>
        <w:t>。</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预算为2.00万元，支出决算为1.53万元，完成预算的76.37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贯彻落实中央八项规定精神</w:t>
      </w:r>
      <w:r>
        <w:rPr>
          <w:rFonts w:hint="eastAsia" w:ascii="仿宋_GB2312" w:hAnsi="仿宋_GB2312" w:eastAsia="仿宋_GB2312" w:cs="仿宋_GB2312"/>
          <w:sz w:val="32"/>
          <w:szCs w:val="32"/>
          <w:lang w:eastAsia="zh-CN"/>
        </w:rPr>
        <w:t>，坚持厉行节约；二是严格执行</w:t>
      </w:r>
      <w:r>
        <w:rPr>
          <w:rFonts w:hint="eastAsia" w:ascii="仿宋_GB2312" w:hAnsi="微软雅黑" w:eastAsia="仿宋_GB2312" w:cs="仿宋_GB2312"/>
          <w:i w:val="0"/>
          <w:iCs w:val="0"/>
          <w:caps w:val="0"/>
          <w:color w:val="23272B"/>
          <w:spacing w:val="0"/>
          <w:kern w:val="0"/>
          <w:sz w:val="31"/>
          <w:szCs w:val="31"/>
          <w:u w:val="none"/>
          <w:shd w:val="clear" w:color="auto" w:fill="FFFFFF"/>
          <w:lang w:val="en-US" w:eastAsia="zh-CN" w:bidi="ar"/>
        </w:rPr>
        <w:t>党政机关公务接待管理有关规定，进一步完善内部管理制度，控制公务接待经费支出</w:t>
      </w:r>
      <w:r>
        <w:rPr>
          <w:rFonts w:hint="eastAsia" w:ascii="仿宋_GB2312" w:hAnsi="仿宋_GB2312" w:eastAsia="仿宋_GB2312" w:cs="仿宋_GB2312"/>
          <w:sz w:val="32"/>
          <w:szCs w:val="32"/>
        </w:rPr>
        <w:t>。</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2023年无此类支出</w:t>
      </w:r>
      <w:r>
        <w:rPr>
          <w:rFonts w:hint="eastAsia" w:ascii="仿宋_GB2312" w:hAnsi="仿宋_GB2312" w:eastAsia="仿宋_GB2312" w:cs="仿宋_GB2312"/>
          <w:sz w:val="32"/>
          <w:szCs w:val="32"/>
        </w:rPr>
        <w:t>。</w:t>
      </w:r>
    </w:p>
    <w:p>
      <w:pPr>
        <w:widowControl/>
        <w:spacing w:line="59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2023年无此类支出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年度机关运行经费支出决算</w:t>
      </w:r>
      <w:r>
        <w:rPr>
          <w:rFonts w:hint="eastAsia" w:ascii="仿宋_GB2312" w:hAnsi="仿宋_GB2312" w:eastAsia="仿宋_GB2312" w:cs="仿宋_GB2312"/>
          <w:sz w:val="32"/>
          <w:szCs w:val="32"/>
          <w:lang w:val="en-US" w:eastAsia="zh-CN"/>
        </w:rPr>
        <w:t>585.71</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年度增加</w:t>
      </w:r>
      <w:r>
        <w:rPr>
          <w:rFonts w:hint="eastAsia" w:ascii="仿宋_GB2312" w:hAnsi="仿宋_GB2312" w:eastAsia="仿宋_GB2312" w:cs="仿宋_GB2312"/>
          <w:sz w:val="32"/>
          <w:szCs w:val="32"/>
          <w:lang w:val="en-US" w:eastAsia="zh-CN"/>
        </w:rPr>
        <w:t>58.99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一是日常维修维护费用增加，二是人员出国经费增加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sz w:val="32"/>
          <w:szCs w:val="32"/>
          <w:lang w:val="en-US" w:eastAsia="zh-CN"/>
        </w:rPr>
        <w:t>023年度政府采购支出总额182.88万元，其中：政府采购货物支出93万元、政府采购服务支出89.88万元。授予中小企业合同金额182.88万元，占政府采购支出总额的100%，其中：授予小微企业合同金额182.88万元，占授予中小企业合同金额的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年期末，我单位共有车辆</w:t>
      </w:r>
      <w:r>
        <w:rPr>
          <w:rFonts w:hint="eastAsia" w:ascii="仿宋_GB2312" w:hAnsi="仿宋_GB2312" w:eastAsia="仿宋_GB2312" w:cs="仿宋_GB2312"/>
          <w:color w:val="000000" w:themeColor="text1"/>
          <w:sz w:val="32"/>
          <w:szCs w:val="32"/>
          <w:lang w:val="en-US" w:eastAsia="zh-CN"/>
        </w:rPr>
        <w:t>22</w:t>
      </w:r>
      <w:r>
        <w:rPr>
          <w:rFonts w:hint="eastAsia" w:ascii="仿宋_GB2312" w:hAnsi="仿宋_GB2312" w:eastAsia="仿宋_GB2312" w:cs="仿宋_GB2312"/>
          <w:color w:val="000000" w:themeColor="text1"/>
          <w:sz w:val="32"/>
          <w:szCs w:val="32"/>
        </w:rPr>
        <w:t>辆，其中：</w:t>
      </w:r>
      <w:r>
        <w:rPr>
          <w:rFonts w:hint="eastAsia" w:ascii="仿宋_GB2312" w:hAnsi="仿宋_GB2312" w:eastAsia="仿宋_GB2312" w:cs="仿宋_GB2312"/>
          <w:color w:val="000000" w:themeColor="text1"/>
          <w:sz w:val="32"/>
          <w:szCs w:val="32"/>
          <w:lang w:eastAsia="zh-CN"/>
        </w:rPr>
        <w:t>一般公务用车</w:t>
      </w:r>
      <w:r>
        <w:rPr>
          <w:rFonts w:hint="eastAsia" w:ascii="仿宋_GB2312" w:hAnsi="仿宋_GB2312" w:eastAsia="仿宋_GB2312" w:cs="仿宋_GB2312"/>
          <w:color w:val="000000" w:themeColor="text1"/>
          <w:sz w:val="32"/>
          <w:szCs w:val="32"/>
          <w:lang w:val="en-US" w:eastAsia="zh-CN"/>
        </w:rPr>
        <w:t>4辆</w:t>
      </w:r>
      <w:r>
        <w:rPr>
          <w:rFonts w:hint="eastAsia" w:ascii="仿宋_GB2312" w:hAnsi="仿宋_GB2312" w:eastAsia="仿宋_GB2312" w:cs="仿宋_GB2312"/>
          <w:color w:val="000000" w:themeColor="text1"/>
          <w:sz w:val="32"/>
          <w:szCs w:val="32"/>
        </w:rPr>
        <w:t>、执法执勤用车</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rPr>
        <w:t>辆、</w:t>
      </w:r>
      <w:r>
        <w:rPr>
          <w:rFonts w:hint="eastAsia" w:ascii="仿宋_GB2312" w:hAnsi="仿宋_GB2312" w:eastAsia="仿宋_GB2312" w:cs="仿宋_GB2312"/>
          <w:color w:val="000000" w:themeColor="text1"/>
          <w:sz w:val="32"/>
          <w:szCs w:val="32"/>
          <w:lang w:eastAsia="zh-CN"/>
        </w:rPr>
        <w:t>特种用车</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辆；单位价值100万元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含</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以上设备</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bookmarkStart w:id="0" w:name="_GoBack"/>
      <w:bookmarkEnd w:id="0"/>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为全面落实财政预算全面绩效管理的要求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我院对</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年度所有预算项目均设置绩效目标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从项目产出、项目效益、满意度等方面设置了绩效目标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综合反应了项目预期完成数量、</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效、质量、预期达到的社会经济效益、可持续影响以及服务对象满意度等情况。并在预算完成后对财政批复的所有项目进行绩效自评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在自评的基础上对部门整体绩效从工作任务完成情况、预算执行率、资金使用规范性等各个方面进行评价。部门绩效自评根据工作开展情况从产出指标、效益指标、满意度指标三个方面进行了绩效评价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总结工作经验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发现了实施管理中的问题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提高了资金使用效率。</w:t>
      </w:r>
    </w:p>
    <w:p>
      <w:pPr>
        <w:widowControl/>
        <w:spacing w:line="590" w:lineRule="exact"/>
        <w:ind w:firstLine="642"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（概述各个项目自评结果、预算执行情况、目标完成情况、存在问题及原因、下一步改进措施，同时附项目自评表。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1.项目执行情况。202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年度漯河市中级人民法院部门整体全年预算数为</w:t>
      </w:r>
      <w:r>
        <w:rPr>
          <w:rFonts w:hint="eastAsia" w:ascii="仿宋_GB2312" w:hAnsi="仿宋" w:eastAsia="仿宋_GB2312"/>
          <w:sz w:val="32"/>
          <w:szCs w:val="32"/>
          <w:lang w:val="en-US" w:eastAsia="zh-CN"/>
        </w:rPr>
        <w:t>2258.30</w:t>
      </w:r>
      <w:r>
        <w:rPr>
          <w:rFonts w:hint="eastAsia" w:ascii="仿宋_GB2312" w:hAnsi="仿宋" w:eastAsia="仿宋_GB2312"/>
          <w:sz w:val="32"/>
          <w:szCs w:val="32"/>
        </w:rPr>
        <w:t>万元，</w:t>
      </w:r>
      <w:r>
        <w:rPr>
          <w:rFonts w:hint="eastAsia" w:ascii="仿宋_GB2312" w:hAnsi="仿宋" w:eastAsia="仿宋_GB2312"/>
          <w:sz w:val="32"/>
          <w:szCs w:val="32"/>
          <w:lang w:eastAsia="zh-CN"/>
        </w:rPr>
        <w:t>全年支出</w:t>
      </w:r>
      <w:r>
        <w:rPr>
          <w:rFonts w:hint="eastAsia" w:ascii="仿宋_GB2312" w:hAnsi="仿宋" w:eastAsia="仿宋_GB2312"/>
          <w:sz w:val="32"/>
          <w:szCs w:val="32"/>
          <w:lang w:val="en-US" w:eastAsia="zh-CN"/>
        </w:rPr>
        <w:t>1659.18</w:t>
      </w:r>
      <w:r>
        <w:rPr>
          <w:rFonts w:hint="eastAsia" w:ascii="仿宋_GB2312" w:hAnsi="仿宋" w:eastAsia="仿宋_GB2312"/>
          <w:sz w:val="32"/>
          <w:szCs w:val="32"/>
        </w:rPr>
        <w:t>万元，执行率</w:t>
      </w:r>
      <w:r>
        <w:rPr>
          <w:rFonts w:hint="eastAsia" w:ascii="仿宋_GB2312" w:hAnsi="仿宋" w:eastAsia="仿宋_GB2312"/>
          <w:sz w:val="32"/>
          <w:szCs w:val="32"/>
          <w:lang w:val="en-US" w:eastAsia="zh-CN"/>
        </w:rPr>
        <w:t>73.47</w:t>
      </w:r>
      <w:r>
        <w:rPr>
          <w:rFonts w:hint="eastAsia" w:ascii="仿宋_GB2312" w:hAnsi="仿宋" w:eastAsia="仿宋_GB2312"/>
          <w:sz w:val="32"/>
          <w:szCs w:val="32"/>
        </w:rPr>
        <w:t>%，完成了全年预算目标。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2.绩效评价结果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按照“谁用款，谁评价”原则，对我院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度聘用制书记员、办案业务经费、培训费、办案业务经费（专项）</w:t>
      </w:r>
      <w:r>
        <w:rPr>
          <w:rFonts w:hint="eastAsia" w:ascii="仿宋_GB2312" w:hAnsi="仿宋_GB2312" w:eastAsia="仿宋_GB2312" w:cs="仿宋_GB2312"/>
          <w:sz w:val="32"/>
          <w:szCs w:val="32"/>
        </w:rPr>
        <w:t>四个项目进行绩效自评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themeColor="text1"/>
          <w:sz w:val="32"/>
          <w:szCs w:val="32"/>
        </w:rPr>
      </w:pPr>
      <w:r>
        <w:rPr>
          <w:rFonts w:hint="eastAsia" w:ascii="仿宋_GB2312" w:hAnsi="仿宋" w:eastAsia="仿宋_GB2312"/>
          <w:sz w:val="32"/>
          <w:szCs w:val="32"/>
        </w:rPr>
        <w:t>3.存在的问题</w:t>
      </w:r>
      <w:r>
        <w:rPr>
          <w:rFonts w:hint="eastAsia" w:ascii="仿宋_GB2312" w:hAnsi="仿宋" w:eastAsia="仿宋_GB2312"/>
          <w:color w:val="000000" w:themeColor="text1"/>
          <w:sz w:val="32"/>
          <w:szCs w:val="32"/>
        </w:rPr>
        <w:t>。一是项目支出运行实践经验和相关人员配备还显不足</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二是缺乏对项目资金是否按计划使用的跟踪</w:t>
      </w:r>
      <w:r>
        <w:rPr>
          <w:rFonts w:hint="eastAsia" w:ascii="仿宋_GB2312" w:hAnsi="仿宋" w:eastAsia="仿宋_GB2312"/>
          <w:color w:val="000000" w:themeColor="text1"/>
          <w:sz w:val="32"/>
          <w:szCs w:val="32"/>
          <w:lang w:eastAsia="zh-CN"/>
        </w:rPr>
        <w:t>，部分项目在预算执行过程中存在变动，决算与预算存在偏差</w:t>
      </w:r>
      <w:r>
        <w:rPr>
          <w:rFonts w:hint="eastAsia" w:ascii="仿宋_GB2312" w:hAnsi="仿宋" w:eastAsia="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sz w:val="30"/>
          <w:szCs w:val="30"/>
          <w:lang w:eastAsia="zh-CN"/>
        </w:rPr>
      </w:pPr>
      <w:r>
        <w:rPr>
          <w:rFonts w:hint="eastAsia" w:ascii="仿宋_GB2312" w:hAnsi="仿宋" w:eastAsia="仿宋_GB2312"/>
          <w:sz w:val="32"/>
          <w:szCs w:val="32"/>
        </w:rPr>
        <w:t>4.改进措施</w:t>
      </w:r>
      <w:r>
        <w:rPr>
          <w:rFonts w:hint="eastAsia" w:ascii="仿宋_GB2312" w:hAnsi="仿宋" w:eastAsia="仿宋_GB2312"/>
          <w:sz w:val="32"/>
          <w:szCs w:val="32"/>
          <w:lang w:eastAsia="zh-CN"/>
        </w:rPr>
        <w:t>。</w:t>
      </w:r>
      <w:r>
        <w:rPr>
          <w:rFonts w:hint="eastAsia" w:ascii="仿宋_GB2312" w:eastAsia="仿宋_GB2312"/>
          <w:b w:val="0"/>
          <w:bCs/>
          <w:sz w:val="30"/>
          <w:szCs w:val="30"/>
          <w:lang w:eastAsia="zh-CN"/>
        </w:rPr>
        <w:t>一是</w:t>
      </w:r>
      <w:r>
        <w:rPr>
          <w:rFonts w:hint="eastAsia" w:ascii="仿宋_GB2312" w:eastAsia="仿宋_GB2312"/>
          <w:b w:val="0"/>
          <w:bCs/>
          <w:sz w:val="30"/>
          <w:szCs w:val="30"/>
        </w:rPr>
        <w:t>加强预算管理，确保项目的科学性</w:t>
      </w:r>
      <w:r>
        <w:rPr>
          <w:rFonts w:hint="eastAsia" w:ascii="仿宋_GB2312" w:eastAsia="仿宋_GB2312"/>
          <w:b w:val="0"/>
          <w:bCs/>
          <w:sz w:val="30"/>
          <w:szCs w:val="30"/>
          <w:lang w:eastAsia="zh-CN"/>
        </w:rPr>
        <w:t>。</w:t>
      </w:r>
      <w:r>
        <w:rPr>
          <w:rFonts w:hint="eastAsia" w:ascii="仿宋_GB2312" w:eastAsia="仿宋_GB2312"/>
          <w:b w:val="0"/>
          <w:bCs/>
          <w:sz w:val="30"/>
          <w:szCs w:val="30"/>
        </w:rPr>
        <w:t>在编制年度预算时，在进行调查研究的基础上，充分论证项目立项的必要性、投入经济性、绩效目标合理性、实施方案可行性，确保项目具有可操作性，项目实施达到预期效果，发挥最大效益。</w:t>
      </w:r>
      <w:r>
        <w:rPr>
          <w:rFonts w:hint="eastAsia" w:ascii="仿宋_GB2312" w:eastAsia="仿宋_GB2312"/>
          <w:b w:val="0"/>
          <w:bCs/>
          <w:sz w:val="30"/>
          <w:szCs w:val="30"/>
          <w:lang w:eastAsia="zh-CN"/>
        </w:rPr>
        <w:t>完善预算管理与预算执行，</w:t>
      </w:r>
      <w:r>
        <w:rPr>
          <w:rFonts w:hint="eastAsia" w:ascii="仿宋_GB2312" w:eastAsia="仿宋_GB2312"/>
          <w:b w:val="0"/>
          <w:bCs/>
          <w:sz w:val="30"/>
          <w:szCs w:val="30"/>
        </w:rPr>
        <w:t>提高单位项目支出资金使用、项目实施精细化管理水平。</w:t>
      </w:r>
      <w:r>
        <w:rPr>
          <w:rFonts w:hint="eastAsia" w:ascii="仿宋_GB2312" w:eastAsia="仿宋_GB2312"/>
          <w:b w:val="0"/>
          <w:bCs/>
          <w:sz w:val="30"/>
          <w:szCs w:val="30"/>
          <w:lang w:eastAsia="zh-CN"/>
        </w:rPr>
        <w:t>二是</w:t>
      </w:r>
      <w:r>
        <w:rPr>
          <w:rFonts w:hint="eastAsia" w:ascii="仿宋_GB2312" w:eastAsia="仿宋_GB2312"/>
          <w:b w:val="0"/>
          <w:bCs/>
          <w:sz w:val="30"/>
          <w:szCs w:val="30"/>
        </w:rPr>
        <w:t>细化项目管理，确保项目按期实施。项目一经批复，各实施部门要认真细化方案，明确责任人，确定项目实施期间</w:t>
      </w:r>
      <w:r>
        <w:rPr>
          <w:rFonts w:hint="eastAsia" w:ascii="仿宋_GB2312" w:eastAsia="仿宋_GB2312"/>
          <w:b w:val="0"/>
          <w:bCs/>
          <w:sz w:val="30"/>
          <w:szCs w:val="30"/>
          <w:lang w:eastAsia="zh-CN"/>
        </w:rPr>
        <w:t>，</w:t>
      </w:r>
      <w:r>
        <w:rPr>
          <w:rFonts w:hint="eastAsia" w:ascii="仿宋_GB2312" w:eastAsia="仿宋_GB2312"/>
          <w:b w:val="0"/>
          <w:bCs/>
          <w:sz w:val="30"/>
          <w:szCs w:val="30"/>
        </w:rPr>
        <w:t>做好各项目支出绩效目标执行中的控制管理，</w:t>
      </w:r>
      <w:r>
        <w:rPr>
          <w:rFonts w:hint="eastAsia" w:ascii="仿宋_GB2312" w:eastAsia="仿宋_GB2312"/>
          <w:b w:val="0"/>
          <w:bCs/>
          <w:sz w:val="30"/>
          <w:szCs w:val="30"/>
          <w:lang w:eastAsia="zh-CN"/>
        </w:rPr>
        <w:t>定期不定期地对项目实施情况和经费使用情况进行跟踪检查，</w:t>
      </w:r>
      <w:r>
        <w:rPr>
          <w:rFonts w:hint="eastAsia" w:ascii="仿宋_GB2312" w:eastAsia="仿宋_GB2312"/>
          <w:b w:val="0"/>
          <w:bCs/>
          <w:sz w:val="30"/>
          <w:szCs w:val="30"/>
        </w:rPr>
        <w:t>建好控制台账，及时按程序进行必要的调整和变更，确保资金对应绩效目标执行，确保项目按计划推进。</w:t>
      </w:r>
      <w:r>
        <w:rPr>
          <w:rFonts w:hint="eastAsia" w:ascii="仿宋_GB2312" w:eastAsia="仿宋_GB2312"/>
          <w:b w:val="0"/>
          <w:bCs/>
          <w:sz w:val="30"/>
          <w:szCs w:val="30"/>
          <w:lang w:eastAsia="zh-CN"/>
        </w:rPr>
        <w:t>三是</w:t>
      </w:r>
      <w:r>
        <w:rPr>
          <w:rFonts w:hint="eastAsia" w:ascii="仿宋_GB2312" w:eastAsia="仿宋_GB2312"/>
          <w:b w:val="0"/>
          <w:bCs/>
          <w:sz w:val="30"/>
          <w:szCs w:val="30"/>
        </w:rPr>
        <w:t>严格人员管理，提高绩效目标管理水平。加强</w:t>
      </w:r>
      <w:r>
        <w:rPr>
          <w:rFonts w:hint="eastAsia" w:ascii="仿宋_GB2312" w:eastAsia="仿宋_GB2312"/>
          <w:b w:val="0"/>
          <w:bCs/>
          <w:sz w:val="30"/>
          <w:szCs w:val="30"/>
          <w:lang w:eastAsia="zh-CN"/>
        </w:rPr>
        <w:t>对</w:t>
      </w:r>
      <w:r>
        <w:rPr>
          <w:rFonts w:hint="eastAsia" w:ascii="仿宋_GB2312" w:eastAsia="仿宋_GB2312"/>
          <w:b w:val="0"/>
          <w:bCs/>
          <w:sz w:val="30"/>
          <w:szCs w:val="30"/>
        </w:rPr>
        <w:t>财务人员</w:t>
      </w:r>
      <w:r>
        <w:rPr>
          <w:rFonts w:hint="eastAsia" w:ascii="仿宋_GB2312" w:eastAsia="仿宋_GB2312"/>
          <w:b w:val="0"/>
          <w:bCs/>
          <w:sz w:val="30"/>
          <w:szCs w:val="30"/>
          <w:lang w:eastAsia="zh-CN"/>
        </w:rPr>
        <w:t>的指导与</w:t>
      </w:r>
      <w:r>
        <w:rPr>
          <w:rFonts w:hint="eastAsia" w:ascii="仿宋_GB2312" w:eastAsia="仿宋_GB2312"/>
          <w:b w:val="0"/>
          <w:bCs/>
          <w:sz w:val="30"/>
          <w:szCs w:val="30"/>
        </w:rPr>
        <w:t>培训，</w:t>
      </w:r>
      <w:r>
        <w:rPr>
          <w:rFonts w:hint="eastAsia" w:ascii="仿宋_GB2312" w:eastAsia="仿宋_GB2312"/>
          <w:b w:val="0"/>
          <w:bCs/>
          <w:sz w:val="30"/>
          <w:szCs w:val="30"/>
          <w:lang w:eastAsia="zh-CN"/>
        </w:rPr>
        <w:t>确保财务人员能够</w:t>
      </w:r>
      <w:r>
        <w:rPr>
          <w:rFonts w:hint="eastAsia" w:ascii="仿宋_GB2312" w:eastAsia="仿宋_GB2312"/>
          <w:b w:val="0"/>
          <w:bCs/>
          <w:sz w:val="30"/>
          <w:szCs w:val="30"/>
        </w:rPr>
        <w:t>熟练掌握预算编制和预算执行等各项政策，提高</w:t>
      </w:r>
      <w:r>
        <w:rPr>
          <w:rFonts w:hint="eastAsia" w:ascii="仿宋_GB2312" w:eastAsia="仿宋_GB2312"/>
          <w:b w:val="0"/>
          <w:bCs/>
          <w:sz w:val="30"/>
          <w:szCs w:val="30"/>
          <w:lang w:eastAsia="zh-CN"/>
        </w:rPr>
        <w:t>绩效管理</w:t>
      </w:r>
      <w:r>
        <w:rPr>
          <w:rFonts w:hint="eastAsia" w:ascii="仿宋_GB2312" w:eastAsia="仿宋_GB2312"/>
          <w:b w:val="0"/>
          <w:bCs/>
          <w:sz w:val="30"/>
          <w:szCs w:val="30"/>
        </w:rPr>
        <w:t>能力</w:t>
      </w:r>
      <w:r>
        <w:rPr>
          <w:rFonts w:hint="eastAsia" w:ascii="仿宋_GB2312" w:eastAsia="仿宋_GB2312"/>
          <w:b w:val="0"/>
          <w:bCs/>
          <w:sz w:val="30"/>
          <w:szCs w:val="30"/>
          <w:lang w:eastAsia="zh-CN"/>
        </w:rPr>
        <w:t>，</w:t>
      </w:r>
      <w:r>
        <w:rPr>
          <w:rFonts w:hint="eastAsia" w:ascii="仿宋_GB2312" w:eastAsia="仿宋_GB2312"/>
          <w:b w:val="0"/>
          <w:bCs/>
          <w:sz w:val="30"/>
          <w:szCs w:val="30"/>
        </w:rPr>
        <w:t>提高绩效目标管理水平</w:t>
      </w:r>
      <w:r>
        <w:rPr>
          <w:rFonts w:hint="eastAsia" w:ascii="仿宋_GB2312" w:eastAsia="仿宋_GB2312"/>
          <w:b w:val="0"/>
          <w:bCs/>
          <w:sz w:val="30"/>
          <w:szCs w:val="30"/>
          <w:lang w:eastAsia="zh-CN"/>
        </w:rPr>
        <w:t>。</w:t>
      </w:r>
    </w:p>
    <w:p>
      <w:pPr>
        <w:rPr>
          <w:rFonts w:hint="default" w:ascii="仿宋_GB2312" w:hAnsi="仿宋_GB2312" w:eastAsia="仿宋_GB2312" w:cs="仿宋_GB2312"/>
          <w:b/>
          <w:sz w:val="32"/>
          <w:szCs w:val="32"/>
          <w:lang w:val="en-US" w:eastAsia="zh-CN"/>
        </w:rPr>
      </w:pPr>
    </w:p>
    <w:p>
      <w:pPr>
        <w:rPr>
          <w:rFonts w:hint="default" w:ascii="仿宋_GB2312" w:hAnsi="仿宋_GB2312" w:eastAsia="仿宋_GB2312" w:cs="仿宋_GB2312"/>
          <w:b/>
          <w:sz w:val="32"/>
          <w:szCs w:val="32"/>
          <w:lang w:val="en-US" w:eastAsia="zh-CN"/>
        </w:rPr>
      </w:pPr>
    </w:p>
    <w:p>
      <w:pPr>
        <w:rPr>
          <w:rFonts w:hint="default" w:ascii="仿宋_GB2312" w:hAnsi="仿宋_GB2312" w:eastAsia="仿宋_GB2312" w:cs="仿宋_GB2312"/>
          <w:b/>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w:t>
      </w:r>
      <w:r>
        <w:rPr>
          <w:rFonts w:ascii="仿宋_GB2312" w:hAnsi="仿宋_GB2312" w:eastAsia="仿宋_GB2312" w:cs="仿宋_GB2312"/>
          <w:b/>
          <w:sz w:val="32"/>
          <w:szCs w:val="32"/>
        </w:rPr>
        <w:t>部门（</w:t>
      </w:r>
      <w:r>
        <w:rPr>
          <w:rFonts w:hint="eastAsia" w:ascii="仿宋_GB2312" w:hAnsi="仿宋_GB2312" w:eastAsia="仿宋_GB2312" w:cs="仿宋_GB2312"/>
          <w:b/>
          <w:sz w:val="32"/>
          <w:szCs w:val="32"/>
        </w:rPr>
        <w:t>单位</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可根据</w:t>
      </w:r>
      <w:r>
        <w:rPr>
          <w:rFonts w:ascii="仿宋_GB2312" w:hAnsi="仿宋_GB2312" w:eastAsia="仿宋_GB2312" w:cs="仿宋_GB2312"/>
          <w:b/>
          <w:sz w:val="32"/>
          <w:szCs w:val="32"/>
        </w:rPr>
        <w:t>本部门公开内容对</w:t>
      </w:r>
      <w:r>
        <w:rPr>
          <w:rFonts w:hint="eastAsia" w:ascii="仿宋_GB2312" w:hAnsi="仿宋_GB2312" w:eastAsia="仿宋_GB2312" w:cs="仿宋_GB2312"/>
          <w:b/>
          <w:sz w:val="32"/>
          <w:szCs w:val="32"/>
        </w:rPr>
        <w:t>名词</w:t>
      </w:r>
      <w:r>
        <w:rPr>
          <w:rFonts w:ascii="仿宋_GB2312" w:hAnsi="仿宋_GB2312" w:eastAsia="仿宋_GB2312" w:cs="仿宋_GB2312"/>
          <w:b/>
          <w:sz w:val="32"/>
          <w:szCs w:val="32"/>
        </w:rPr>
        <w:t>解释</w:t>
      </w:r>
      <w:r>
        <w:rPr>
          <w:rFonts w:hint="eastAsia" w:ascii="仿宋_GB2312" w:hAnsi="仿宋_GB2312" w:eastAsia="仿宋_GB2312" w:cs="仿宋_GB2312"/>
          <w:b/>
          <w:sz w:val="32"/>
          <w:szCs w:val="32"/>
        </w:rPr>
        <w:t>进行相应</w:t>
      </w:r>
      <w:r>
        <w:rPr>
          <w:rFonts w:ascii="仿宋_GB2312" w:hAnsi="仿宋_GB2312" w:eastAsia="仿宋_GB2312" w:cs="仿宋_GB2312"/>
          <w:b/>
          <w:sz w:val="32"/>
          <w:szCs w:val="32"/>
        </w:rPr>
        <w:t>增补</w:t>
      </w:r>
      <w:r>
        <w:rPr>
          <w:rFonts w:hint="eastAsia" w:ascii="仿宋_GB2312" w:hAnsi="仿宋_GB2312" w:eastAsia="仿宋_GB2312" w:cs="仿宋_GB2312"/>
          <w:b/>
          <w:sz w:val="32"/>
          <w:szCs w:val="32"/>
        </w:rPr>
        <w:t>）</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AOyRX8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C2yfvDywEAAJw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q+iy8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81AB"/>
    <w:multiLevelType w:val="singleLevel"/>
    <w:tmpl w:val="FBEF81A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E2437"/>
    <w:rsid w:val="1BFFB598"/>
    <w:rsid w:val="1C3C6048"/>
    <w:rsid w:val="35876919"/>
    <w:rsid w:val="35DDDF4A"/>
    <w:rsid w:val="3EBD0E3E"/>
    <w:rsid w:val="57BF2B05"/>
    <w:rsid w:val="5F56D762"/>
    <w:rsid w:val="6CC306AA"/>
    <w:rsid w:val="7B71246A"/>
    <w:rsid w:val="7DEC45F1"/>
    <w:rsid w:val="7DFF992D"/>
    <w:rsid w:val="7E7389F2"/>
    <w:rsid w:val="7EBF20E9"/>
    <w:rsid w:val="7FA36BE7"/>
    <w:rsid w:val="7FEF37F0"/>
    <w:rsid w:val="7FF6978C"/>
    <w:rsid w:val="91D69191"/>
    <w:rsid w:val="9B3B5EEF"/>
    <w:rsid w:val="A3EDF67A"/>
    <w:rsid w:val="B7519A49"/>
    <w:rsid w:val="B7B8EC45"/>
    <w:rsid w:val="B7D491D2"/>
    <w:rsid w:val="BFD5095C"/>
    <w:rsid w:val="D733F1C1"/>
    <w:rsid w:val="DBBD5658"/>
    <w:rsid w:val="EE7B7E86"/>
    <w:rsid w:val="FC6E0F6E"/>
    <w:rsid w:val="FF708E0E"/>
    <w:rsid w:val="FFBFF7E6"/>
    <w:rsid w:val="FFFDB485"/>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unhideWhenUsed/>
    <w:qFormat/>
    <w:uiPriority w:val="99"/>
    <w:tblPr>
      <w:tblCellMar>
        <w:top w:w="0" w:type="dxa"/>
        <w:left w:w="108" w:type="dxa"/>
        <w:bottom w:w="0" w:type="dxa"/>
        <w:right w:w="108" w:type="dxa"/>
      </w:tblCellMar>
    </w:tblPr>
  </w:style>
  <w:style w:type="character" w:customStyle="1" w:styleId="6">
    <w:name w:val="超链接1"/>
    <w:unhideWhenUsed/>
    <w:qFormat/>
    <w:uiPriority w:val="99"/>
    <w:rPr>
      <w:color w:val="0000FF"/>
      <w:u w:val="singl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21"/>
    <w:qFormat/>
    <w:uiPriority w:val="0"/>
    <w:rPr>
      <w:rFonts w:hint="eastAsia" w:ascii="宋体" w:hAnsi="宋体" w:eastAsia="宋体" w:cs="宋体"/>
      <w:color w:val="000000"/>
      <w:sz w:val="22"/>
      <w:szCs w:val="22"/>
      <w:u w:val="none"/>
    </w:rPr>
  </w:style>
  <w:style w:type="character" w:customStyle="1" w:styleId="9">
    <w:name w:val="访问过的超链接"/>
    <w:unhideWhenUsed/>
    <w:qFormat/>
    <w:uiPriority w:val="99"/>
    <w:rPr>
      <w:color w:val="800080"/>
      <w:u w:val="single"/>
    </w:rPr>
  </w:style>
  <w:style w:type="character" w:customStyle="1" w:styleId="10">
    <w:name w:val="页眉 Char"/>
    <w:link w:val="11"/>
    <w:qFormat/>
    <w:uiPriority w:val="99"/>
    <w:rPr>
      <w:kern w:val="2"/>
      <w:sz w:val="18"/>
      <w:szCs w:val="18"/>
    </w:rPr>
  </w:style>
  <w:style w:type="paragraph" w:customStyle="1" w:styleId="11">
    <w:name w:val="页眉1"/>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font51"/>
    <w:qFormat/>
    <w:uiPriority w:val="0"/>
    <w:rPr>
      <w:rFonts w:hint="eastAsia" w:ascii="宋体" w:hAnsi="宋体" w:eastAsia="宋体" w:cs="宋体"/>
      <w:color w:val="000000"/>
      <w:sz w:val="24"/>
      <w:szCs w:val="24"/>
      <w:u w:val="none"/>
    </w:rPr>
  </w:style>
  <w:style w:type="character" w:customStyle="1" w:styleId="13">
    <w:name w:val="font11"/>
    <w:qFormat/>
    <w:uiPriority w:val="0"/>
    <w:rPr>
      <w:rFonts w:hint="eastAsia" w:ascii="宋体" w:hAnsi="宋体" w:eastAsia="宋体" w:cs="宋体"/>
      <w:color w:val="000000"/>
      <w:sz w:val="20"/>
      <w:szCs w:val="20"/>
      <w:u w:val="none"/>
    </w:rPr>
  </w:style>
  <w:style w:type="character" w:customStyle="1" w:styleId="14">
    <w:name w:val="页脚 Char"/>
    <w:link w:val="15"/>
    <w:qFormat/>
    <w:uiPriority w:val="99"/>
    <w:rPr>
      <w:kern w:val="2"/>
      <w:sz w:val="18"/>
      <w:szCs w:val="18"/>
    </w:rPr>
  </w:style>
  <w:style w:type="paragraph" w:customStyle="1" w:styleId="15">
    <w:name w:val="页脚1"/>
    <w:basedOn w:val="1"/>
    <w:link w:val="14"/>
    <w:unhideWhenUsed/>
    <w:qFormat/>
    <w:uiPriority w:val="99"/>
    <w:pPr>
      <w:tabs>
        <w:tab w:val="center" w:pos="4153"/>
        <w:tab w:val="right" w:pos="8306"/>
      </w:tabs>
      <w:snapToGrid w:val="0"/>
      <w:jc w:val="left"/>
    </w:pPr>
    <w:rPr>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Char"/>
    <w:link w:val="18"/>
    <w:semiHidden/>
    <w:qFormat/>
    <w:uiPriority w:val="99"/>
    <w:rPr>
      <w:kern w:val="2"/>
      <w:sz w:val="18"/>
      <w:szCs w:val="18"/>
    </w:rPr>
  </w:style>
  <w:style w:type="paragraph" w:customStyle="1" w:styleId="18">
    <w:name w:val="批注框文本1"/>
    <w:basedOn w:val="1"/>
    <w:link w:val="17"/>
    <w:unhideWhenUsed/>
    <w:qFormat/>
    <w:uiPriority w:val="99"/>
    <w:rPr>
      <w:sz w:val="18"/>
      <w:szCs w:val="18"/>
    </w:rPr>
  </w:style>
  <w:style w:type="table" w:customStyle="1" w:styleId="19">
    <w:name w:val="网格型1"/>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28</Pages>
  <Words>1363</Words>
  <Characters>7775</Characters>
  <Lines>64</Lines>
  <Paragraphs>18</Paragraphs>
  <TotalTime>2</TotalTime>
  <ScaleCrop>false</ScaleCrop>
  <LinksUpToDate>false</LinksUpToDate>
  <CharactersWithSpaces>9120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2007-12-02T19:41:00Z</dcterms:created>
  <dc:creator>管理者</dc:creator>
  <cp:lastModifiedBy>潘媛</cp:lastModifiedBy>
  <cp:lastPrinted>2024-09-01T03:45:00Z</cp:lastPrinted>
  <dcterms:modified xsi:type="dcterms:W3CDTF">2025-08-20T09:23:07Z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